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E" w:rsidRPr="004316EF" w:rsidRDefault="00B82E0E" w:rsidP="00B82E0E">
      <w:pPr>
        <w:jc w:val="center"/>
        <w:rPr>
          <w:b/>
        </w:rPr>
      </w:pPr>
      <w:r w:rsidRPr="004316EF">
        <w:rPr>
          <w:b/>
        </w:rPr>
        <w:t xml:space="preserve">PROJECT </w:t>
      </w:r>
      <w:r w:rsidR="007F5B9C">
        <w:rPr>
          <w:b/>
        </w:rPr>
        <w:t>1</w:t>
      </w:r>
      <w:r w:rsidRPr="004316EF">
        <w:rPr>
          <w:b/>
        </w:rPr>
        <w:t>: MUTUAL FUND ANALYSIS</w:t>
      </w:r>
    </w:p>
    <w:p w:rsidR="00B82E0E" w:rsidRPr="004316EF" w:rsidRDefault="00B82E0E" w:rsidP="00B82E0E">
      <w:pPr>
        <w:jc w:val="center"/>
      </w:pPr>
    </w:p>
    <w:p w:rsidR="00B82E0E" w:rsidRPr="004316EF" w:rsidRDefault="00B82E0E"/>
    <w:p w:rsidR="00B82E0E" w:rsidRPr="004316EF" w:rsidRDefault="003B7F95" w:rsidP="00335A52">
      <w:pPr>
        <w:spacing w:line="300" w:lineRule="auto"/>
      </w:pPr>
      <w:r w:rsidRPr="004316EF">
        <w:t>You</w:t>
      </w:r>
      <w:r w:rsidR="008B439E" w:rsidRPr="004316EF">
        <w:t xml:space="preserve"> are a mutual fund research analyst at Warhawk Capital </w:t>
      </w:r>
      <w:r w:rsidR="002E059D">
        <w:t>Advisors</w:t>
      </w:r>
      <w:r w:rsidR="008B439E" w:rsidRPr="004316EF">
        <w:t>.  Your</w:t>
      </w:r>
      <w:r w:rsidRPr="004316EF">
        <w:t xml:space="preserve"> objective is to analyze three actively managed and one passively managed </w:t>
      </w:r>
      <w:r w:rsidR="002E059D">
        <w:t xml:space="preserve">open end </w:t>
      </w:r>
      <w:r w:rsidR="006E3B5B">
        <w:t>fund</w:t>
      </w:r>
      <w:r w:rsidR="00F7052B" w:rsidRPr="004316EF">
        <w:t xml:space="preserve"> in the </w:t>
      </w:r>
      <w:r w:rsidR="00F7052B" w:rsidRPr="004316EF">
        <w:rPr>
          <w:u w:val="single"/>
        </w:rPr>
        <w:t>same style category</w:t>
      </w:r>
      <w:r w:rsidRPr="004316EF">
        <w:t xml:space="preserve">.  </w:t>
      </w:r>
      <w:r w:rsidRPr="00F70759">
        <w:rPr>
          <w:b/>
        </w:rPr>
        <w:t xml:space="preserve">Compare and contrast the funds, and </w:t>
      </w:r>
      <w:r w:rsidR="00335A52" w:rsidRPr="00F70759">
        <w:rPr>
          <w:b/>
        </w:rPr>
        <w:t xml:space="preserve">select </w:t>
      </w:r>
      <w:r w:rsidRPr="00F70759">
        <w:rPr>
          <w:b/>
        </w:rPr>
        <w:t xml:space="preserve">one of the four as your recommended fund </w:t>
      </w:r>
      <w:r w:rsidR="008B439E" w:rsidRPr="00F70759">
        <w:rPr>
          <w:b/>
        </w:rPr>
        <w:t>for investor</w:t>
      </w:r>
      <w:r w:rsidR="004316EF" w:rsidRPr="00F70759">
        <w:rPr>
          <w:b/>
        </w:rPr>
        <w:t>s</w:t>
      </w:r>
      <w:r w:rsidR="008B439E" w:rsidRPr="00F70759">
        <w:rPr>
          <w:b/>
        </w:rPr>
        <w:t xml:space="preserve"> who want exposure to that style box</w:t>
      </w:r>
      <w:r w:rsidRPr="00F70759">
        <w:rPr>
          <w:b/>
        </w:rPr>
        <w:t>.</w:t>
      </w:r>
      <w:r w:rsidR="00C519DF">
        <w:t xml:space="preserve">  You may work in teams of 1</w:t>
      </w:r>
      <w:r w:rsidR="001920CC">
        <w:t>-4</w:t>
      </w:r>
      <w:r w:rsidR="00C519DF">
        <w:t xml:space="preserve"> students from either section.</w:t>
      </w:r>
    </w:p>
    <w:p w:rsidR="003B7F95" w:rsidRPr="004316EF" w:rsidRDefault="003B7F95" w:rsidP="00335A52">
      <w:pPr>
        <w:spacing w:line="300" w:lineRule="auto"/>
      </w:pPr>
    </w:p>
    <w:p w:rsidR="003B7F95" w:rsidRPr="0009661D" w:rsidRDefault="00214ECD" w:rsidP="00335A52">
      <w:pPr>
        <w:pStyle w:val="ListParagraph"/>
        <w:numPr>
          <w:ilvl w:val="0"/>
          <w:numId w:val="1"/>
        </w:numPr>
        <w:spacing w:line="300" w:lineRule="auto"/>
        <w:rPr>
          <w:b/>
          <w:u w:val="single"/>
        </w:rPr>
      </w:pPr>
      <w:r>
        <w:t>F</w:t>
      </w:r>
      <w:r w:rsidR="003B7F95" w:rsidRPr="004316EF">
        <w:t>und</w:t>
      </w:r>
      <w:r w:rsidR="00E27807" w:rsidRPr="004316EF">
        <w:t>s</w:t>
      </w:r>
      <w:r w:rsidR="003B7F95" w:rsidRPr="004316EF">
        <w:t xml:space="preserve"> </w:t>
      </w:r>
      <w:r>
        <w:t xml:space="preserve">options </w:t>
      </w:r>
      <w:r w:rsidR="003B7F95" w:rsidRPr="004316EF">
        <w:t>in the large growth, large value, small growth</w:t>
      </w:r>
      <w:r w:rsidR="00281EE1">
        <w:t xml:space="preserve">, </w:t>
      </w:r>
      <w:r w:rsidR="003B7F95" w:rsidRPr="004316EF">
        <w:t>small value</w:t>
      </w:r>
      <w:r w:rsidR="00281EE1">
        <w:t>, and international</w:t>
      </w:r>
      <w:r w:rsidR="003B7F95" w:rsidRPr="004316EF">
        <w:t xml:space="preserve"> style categories</w:t>
      </w:r>
      <w:r w:rsidR="00BA3E92" w:rsidRPr="004316EF">
        <w:t xml:space="preserve"> </w:t>
      </w:r>
      <w:r w:rsidR="002C272A">
        <w:t>are</w:t>
      </w:r>
      <w:r w:rsidR="003B7F95" w:rsidRPr="004316EF">
        <w:t xml:space="preserve"> shown on the </w:t>
      </w:r>
      <w:r w:rsidR="004316EF" w:rsidRPr="004316EF">
        <w:t>following page.</w:t>
      </w:r>
      <w:r w:rsidR="00925BD7">
        <w:t xml:space="preserve">  </w:t>
      </w:r>
      <w:r w:rsidR="00F7052B" w:rsidRPr="004316EF">
        <w:t>Choose</w:t>
      </w:r>
      <w:r w:rsidR="003B7F95" w:rsidRPr="004316EF">
        <w:t xml:space="preserve"> </w:t>
      </w:r>
      <w:r w:rsidR="003B7F95" w:rsidRPr="00952B67">
        <w:rPr>
          <w:b/>
          <w:u w:val="single"/>
        </w:rPr>
        <w:t>one</w:t>
      </w:r>
      <w:r w:rsidR="003B7F95" w:rsidRPr="004316EF">
        <w:t xml:space="preserve"> category.  Choose </w:t>
      </w:r>
      <w:r w:rsidR="003B7F95" w:rsidRPr="00952B67">
        <w:rPr>
          <w:b/>
          <w:u w:val="single"/>
        </w:rPr>
        <w:t>three</w:t>
      </w:r>
      <w:r w:rsidR="003B7F95" w:rsidRPr="004316EF">
        <w:t xml:space="preserve"> active funds along with</w:t>
      </w:r>
      <w:r w:rsidR="002A6CE2" w:rsidRPr="004316EF">
        <w:t xml:space="preserve"> the</w:t>
      </w:r>
      <w:r w:rsidR="003B7F95" w:rsidRPr="004316EF">
        <w:t xml:space="preserve"> passive </w:t>
      </w:r>
      <w:r w:rsidR="006E3B5B">
        <w:t>fund</w:t>
      </w:r>
      <w:r w:rsidR="00F7052B" w:rsidRPr="004316EF">
        <w:t xml:space="preserve"> in the </w:t>
      </w:r>
      <w:r w:rsidR="003B7F95" w:rsidRPr="004316EF">
        <w:t>category</w:t>
      </w:r>
      <w:r w:rsidR="0009661D" w:rsidRPr="0009661D">
        <w:rPr>
          <w:b/>
          <w:u w:val="single"/>
        </w:rPr>
        <w:t>. (Please choose large growth)</w:t>
      </w:r>
    </w:p>
    <w:p w:rsidR="003B7F95" w:rsidRPr="004316EF" w:rsidRDefault="003B7F95" w:rsidP="00335A52">
      <w:pPr>
        <w:pStyle w:val="ListParagraph"/>
        <w:numPr>
          <w:ilvl w:val="0"/>
          <w:numId w:val="1"/>
        </w:numPr>
        <w:spacing w:line="300" w:lineRule="auto"/>
      </w:pPr>
      <w:r w:rsidRPr="004316EF">
        <w:t xml:space="preserve">Use </w:t>
      </w:r>
      <w:r w:rsidR="00A109AB">
        <w:t xml:space="preserve">the free website </w:t>
      </w:r>
      <w:r w:rsidRPr="004316EF">
        <w:t>Morningstar.com as your data resource</w:t>
      </w:r>
      <w:r w:rsidR="00F7052B" w:rsidRPr="004316EF">
        <w:t xml:space="preserve">, along with </w:t>
      </w:r>
      <w:r w:rsidRPr="004316EF">
        <w:t>the Excel template in D2L</w:t>
      </w:r>
      <w:r w:rsidR="00925BD7">
        <w:t xml:space="preserve"> called Project </w:t>
      </w:r>
      <w:r w:rsidR="001920CC">
        <w:t>1</w:t>
      </w:r>
      <w:r w:rsidR="00925BD7">
        <w:t xml:space="preserve"> Mutual Fund Analysis</w:t>
      </w:r>
      <w:r w:rsidR="00335A52" w:rsidRPr="004316EF">
        <w:t>.</w:t>
      </w:r>
    </w:p>
    <w:p w:rsidR="003B7F95" w:rsidRPr="004316EF" w:rsidRDefault="003B7F95" w:rsidP="00335A52">
      <w:pPr>
        <w:pStyle w:val="ListParagraph"/>
        <w:numPr>
          <w:ilvl w:val="0"/>
          <w:numId w:val="1"/>
        </w:numPr>
        <w:spacing w:line="300" w:lineRule="auto"/>
      </w:pPr>
      <w:r w:rsidRPr="004316EF">
        <w:t>Fill in the template data</w:t>
      </w:r>
      <w:r w:rsidR="00925BD7">
        <w:t xml:space="preserve"> </w:t>
      </w:r>
      <w:r w:rsidR="00214ECD">
        <w:t xml:space="preserve">for each of your four funds using </w:t>
      </w:r>
      <w:r w:rsidR="00925BD7">
        <w:t>Morningstar</w:t>
      </w:r>
      <w:r w:rsidR="002E059D">
        <w:t xml:space="preserve"> data</w:t>
      </w:r>
      <w:r w:rsidR="00854F98" w:rsidRPr="004316EF">
        <w:t xml:space="preserve">.  </w:t>
      </w:r>
      <w:r w:rsidR="00F7052B" w:rsidRPr="001920CC">
        <w:rPr>
          <w:b/>
        </w:rPr>
        <w:t>Occasionally u</w:t>
      </w:r>
      <w:r w:rsidR="00854F98" w:rsidRPr="001920CC">
        <w:rPr>
          <w:b/>
        </w:rPr>
        <w:t xml:space="preserve">se </w:t>
      </w:r>
      <w:r w:rsidR="00912FBC" w:rsidRPr="001920CC">
        <w:rPr>
          <w:b/>
        </w:rPr>
        <w:t>colors, font size</w:t>
      </w:r>
      <w:r w:rsidR="00925BD7" w:rsidRPr="001920CC">
        <w:rPr>
          <w:b/>
        </w:rPr>
        <w:t>, bold, etc.</w:t>
      </w:r>
      <w:r w:rsidR="00854F98" w:rsidRPr="001920CC">
        <w:rPr>
          <w:b/>
        </w:rPr>
        <w:t xml:space="preserve"> to</w:t>
      </w:r>
      <w:r w:rsidR="00F7052B" w:rsidRPr="001920CC">
        <w:rPr>
          <w:b/>
        </w:rPr>
        <w:t xml:space="preserve"> </w:t>
      </w:r>
      <w:r w:rsidR="00854F98" w:rsidRPr="001920CC">
        <w:rPr>
          <w:b/>
        </w:rPr>
        <w:t>highlight cells</w:t>
      </w:r>
      <w:r w:rsidR="00854F98" w:rsidRPr="004316EF">
        <w:t xml:space="preserve"> that are of particular interest</w:t>
      </w:r>
      <w:r w:rsidR="00C733F7" w:rsidRPr="004316EF">
        <w:t xml:space="preserve"> </w:t>
      </w:r>
      <w:r w:rsidR="00BA3E92" w:rsidRPr="004316EF">
        <w:t xml:space="preserve">or have a meaningful impact on </w:t>
      </w:r>
      <w:r w:rsidR="00C733F7" w:rsidRPr="004316EF">
        <w:t>your decision.</w:t>
      </w:r>
    </w:p>
    <w:p w:rsidR="00854F98" w:rsidRPr="004316EF" w:rsidRDefault="00854F98" w:rsidP="00335A52">
      <w:pPr>
        <w:pStyle w:val="ListParagraph"/>
        <w:numPr>
          <w:ilvl w:val="0"/>
          <w:numId w:val="1"/>
        </w:numPr>
        <w:spacing w:line="300" w:lineRule="auto"/>
      </w:pPr>
      <w:r w:rsidRPr="004316EF">
        <w:t>If a fund is missing a 10 year data item, use the longest time period available.</w:t>
      </w:r>
    </w:p>
    <w:p w:rsidR="00912FBC" w:rsidRPr="00912FBC" w:rsidRDefault="00BA3E92" w:rsidP="00335A52">
      <w:pPr>
        <w:pStyle w:val="ListParagraph"/>
        <w:numPr>
          <w:ilvl w:val="0"/>
          <w:numId w:val="1"/>
        </w:numPr>
        <w:spacing w:line="300" w:lineRule="auto"/>
      </w:pPr>
      <w:r w:rsidRPr="004316EF">
        <w:t>After completing the Excel analysis, w</w:t>
      </w:r>
      <w:r w:rsidR="003B7F95" w:rsidRPr="004316EF">
        <w:t xml:space="preserve">rite a </w:t>
      </w:r>
      <w:r w:rsidRPr="004316EF">
        <w:t>3</w:t>
      </w:r>
      <w:r w:rsidR="003B7F95" w:rsidRPr="004316EF">
        <w:t xml:space="preserve">-4 page </w:t>
      </w:r>
      <w:r w:rsidR="007F5B9C">
        <w:t xml:space="preserve">report (in memo or client report format) </w:t>
      </w:r>
      <w:r w:rsidR="002C272A">
        <w:t xml:space="preserve">with </w:t>
      </w:r>
      <w:r w:rsidR="00F9020D">
        <w:t>1.5</w:t>
      </w:r>
      <w:r w:rsidR="002C272A">
        <w:t xml:space="preserve"> line spacing </w:t>
      </w:r>
      <w:r w:rsidR="003B7F95" w:rsidRPr="004316EF">
        <w:t xml:space="preserve">summarizing your </w:t>
      </w:r>
      <w:r w:rsidR="00A109AB">
        <w:t xml:space="preserve">overall </w:t>
      </w:r>
      <w:r w:rsidR="003B7F95" w:rsidRPr="004316EF">
        <w:t xml:space="preserve">analysis.  </w:t>
      </w:r>
      <w:r w:rsidR="00912FBC" w:rsidRPr="00912FBC">
        <w:rPr>
          <w:b/>
        </w:rPr>
        <w:t xml:space="preserve">Discuss which factors most influenced your choice and the key data points associated with those factors.  </w:t>
      </w:r>
      <w:r w:rsidR="003B7F95" w:rsidRPr="00912FBC">
        <w:rPr>
          <w:b/>
        </w:rPr>
        <w:t xml:space="preserve">Identify </w:t>
      </w:r>
      <w:r w:rsidR="00F7052B" w:rsidRPr="00912FBC">
        <w:rPr>
          <w:b/>
        </w:rPr>
        <w:t xml:space="preserve">notably </w:t>
      </w:r>
      <w:r w:rsidR="003B7F95" w:rsidRPr="00912FBC">
        <w:rPr>
          <w:b/>
        </w:rPr>
        <w:t>strong and weak points for each fund.  Identify your recommended fund and explain why you selected it as the best option.</w:t>
      </w:r>
      <w:r w:rsidR="00335A52" w:rsidRPr="00912FBC">
        <w:rPr>
          <w:b/>
        </w:rPr>
        <w:t xml:space="preserve"> </w:t>
      </w:r>
      <w:r w:rsidR="00F7052B" w:rsidRPr="00912FBC">
        <w:rPr>
          <w:b/>
        </w:rPr>
        <w:t xml:space="preserve"> </w:t>
      </w:r>
    </w:p>
    <w:p w:rsidR="003B7F95" w:rsidRPr="004316EF" w:rsidRDefault="003B7F95">
      <w:bookmarkStart w:id="0" w:name="_GoBack"/>
      <w:bookmarkEnd w:id="0"/>
    </w:p>
    <w:p w:rsidR="00BA3E92" w:rsidRPr="004316EF" w:rsidRDefault="00BA3E92">
      <w:r w:rsidRPr="004316EF">
        <w:br w:type="page"/>
      </w:r>
    </w:p>
    <w:p w:rsidR="00912FBC" w:rsidRDefault="00912FBC">
      <w:pPr>
        <w:rPr>
          <w:b/>
        </w:rPr>
        <w:sectPr w:rsidR="00912FB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2E0E" w:rsidRPr="00912FBC" w:rsidRDefault="00F86A13">
      <w:pPr>
        <w:rPr>
          <w:b/>
          <w:sz w:val="20"/>
          <w:szCs w:val="20"/>
        </w:rPr>
      </w:pPr>
      <w:r w:rsidRPr="00912FBC">
        <w:rPr>
          <w:b/>
          <w:sz w:val="20"/>
          <w:szCs w:val="20"/>
        </w:rPr>
        <w:lastRenderedPageBreak/>
        <w:t>LARGE VALUE</w:t>
      </w:r>
    </w:p>
    <w:p w:rsidR="003A7ACF" w:rsidRPr="00912FBC" w:rsidRDefault="003A7ACF">
      <w:pPr>
        <w:rPr>
          <w:sz w:val="20"/>
          <w:szCs w:val="20"/>
        </w:rPr>
      </w:pPr>
      <w:r w:rsidRPr="00912FBC">
        <w:rPr>
          <w:sz w:val="20"/>
          <w:szCs w:val="20"/>
        </w:rPr>
        <w:t xml:space="preserve">Passive </w:t>
      </w:r>
      <w:r w:rsidR="00C901D0" w:rsidRPr="00912FBC">
        <w:rPr>
          <w:sz w:val="20"/>
          <w:szCs w:val="20"/>
        </w:rPr>
        <w:t>Fund</w:t>
      </w:r>
      <w:r w:rsidRPr="00912FBC">
        <w:rPr>
          <w:sz w:val="20"/>
          <w:szCs w:val="20"/>
        </w:rPr>
        <w:t>:</w:t>
      </w:r>
      <w:r w:rsidR="00A90C7D" w:rsidRPr="00912FBC">
        <w:rPr>
          <w:sz w:val="20"/>
          <w:szCs w:val="20"/>
        </w:rPr>
        <w:t xml:space="preserve">  </w:t>
      </w:r>
      <w:r w:rsidR="00C901D0" w:rsidRPr="00912FBC">
        <w:rPr>
          <w:sz w:val="20"/>
          <w:szCs w:val="20"/>
        </w:rPr>
        <w:t>VIVIX   Vanguard Value</w:t>
      </w:r>
    </w:p>
    <w:p w:rsidR="003A7ACF" w:rsidRPr="00912FBC" w:rsidRDefault="003A7ACF">
      <w:pPr>
        <w:rPr>
          <w:sz w:val="20"/>
          <w:szCs w:val="20"/>
        </w:rPr>
      </w:pPr>
    </w:p>
    <w:p w:rsidR="00A90C7D" w:rsidRPr="00912FBC" w:rsidRDefault="00A90C7D" w:rsidP="00A90C7D">
      <w:pPr>
        <w:rPr>
          <w:sz w:val="20"/>
          <w:szCs w:val="20"/>
          <w:u w:val="single"/>
        </w:rPr>
      </w:pPr>
      <w:r w:rsidRPr="00912FBC">
        <w:rPr>
          <w:sz w:val="20"/>
          <w:szCs w:val="20"/>
          <w:u w:val="single"/>
        </w:rPr>
        <w:t>Active OEF choices:</w:t>
      </w:r>
    </w:p>
    <w:p w:rsidR="00A90C7D" w:rsidRPr="00912FBC" w:rsidRDefault="00FD67A8" w:rsidP="00A90C7D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MABA</w:t>
      </w:r>
      <w:r w:rsidR="008D1476" w:rsidRPr="00912FBC">
        <w:rPr>
          <w:sz w:val="20"/>
          <w:szCs w:val="20"/>
        </w:rPr>
        <w:t>X</w:t>
      </w:r>
      <w:r w:rsidR="00A90C7D" w:rsidRPr="00912FBC">
        <w:rPr>
          <w:sz w:val="20"/>
          <w:szCs w:val="20"/>
        </w:rPr>
        <w:tab/>
      </w:r>
      <w:r>
        <w:rPr>
          <w:sz w:val="20"/>
          <w:szCs w:val="20"/>
        </w:rPr>
        <w:t>Blackrock Basic</w:t>
      </w:r>
      <w:r w:rsidR="008D1476" w:rsidRPr="00912FBC">
        <w:rPr>
          <w:sz w:val="20"/>
          <w:szCs w:val="20"/>
        </w:rPr>
        <w:t xml:space="preserve"> Value</w:t>
      </w:r>
    </w:p>
    <w:p w:rsidR="00A90C7D" w:rsidRPr="00912FBC" w:rsidRDefault="00767936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DODGX</w:t>
      </w:r>
      <w:r w:rsidR="00A90C7D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Dodge &amp; Cox Stock</w:t>
      </w:r>
    </w:p>
    <w:p w:rsidR="00A90C7D" w:rsidRPr="00912FBC" w:rsidRDefault="00767936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PRFDX</w:t>
      </w:r>
      <w:r w:rsidR="00A90C7D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 xml:space="preserve">T Rowe </w:t>
      </w:r>
      <w:r w:rsidR="00C519DF" w:rsidRPr="00912FBC">
        <w:rPr>
          <w:sz w:val="20"/>
          <w:szCs w:val="20"/>
        </w:rPr>
        <w:t>Price Equity</w:t>
      </w:r>
      <w:r w:rsidRPr="00912FBC">
        <w:rPr>
          <w:sz w:val="20"/>
          <w:szCs w:val="20"/>
        </w:rPr>
        <w:t xml:space="preserve"> Income</w:t>
      </w:r>
    </w:p>
    <w:p w:rsidR="008D1476" w:rsidRPr="00912FBC" w:rsidRDefault="008D1476" w:rsidP="008D147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SSHFX</w:t>
      </w:r>
      <w:r w:rsidRPr="00912FBC">
        <w:rPr>
          <w:sz w:val="20"/>
          <w:szCs w:val="20"/>
        </w:rPr>
        <w:tab/>
        <w:t>Sound Shore Investor</w:t>
      </w:r>
    </w:p>
    <w:p w:rsidR="008D1476" w:rsidRPr="00912FBC" w:rsidRDefault="008D1476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TWEIX</w:t>
      </w:r>
      <w:r w:rsidRPr="00912FBC">
        <w:rPr>
          <w:sz w:val="20"/>
          <w:szCs w:val="20"/>
        </w:rPr>
        <w:tab/>
        <w:t>American Century Equity Income</w:t>
      </w:r>
    </w:p>
    <w:p w:rsidR="00A90C7D" w:rsidRPr="00912FBC" w:rsidRDefault="00767936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VWNFX</w:t>
      </w:r>
      <w:r w:rsidR="00A90C7D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Vanguard Windsor II</w:t>
      </w:r>
    </w:p>
    <w:p w:rsidR="00A90C7D" w:rsidRPr="00912FBC" w:rsidRDefault="00A90C7D" w:rsidP="00A90C7D">
      <w:pPr>
        <w:tabs>
          <w:tab w:val="left" w:pos="1440"/>
        </w:tabs>
        <w:rPr>
          <w:sz w:val="20"/>
          <w:szCs w:val="20"/>
        </w:rPr>
      </w:pPr>
    </w:p>
    <w:p w:rsidR="00BA3E92" w:rsidRDefault="00BA3E92">
      <w:pPr>
        <w:rPr>
          <w:sz w:val="20"/>
          <w:szCs w:val="20"/>
        </w:rPr>
      </w:pPr>
    </w:p>
    <w:p w:rsidR="005245E9" w:rsidRPr="00912FBC" w:rsidRDefault="005245E9">
      <w:pPr>
        <w:rPr>
          <w:sz w:val="20"/>
          <w:szCs w:val="20"/>
        </w:rPr>
      </w:pPr>
    </w:p>
    <w:p w:rsidR="00F86A13" w:rsidRPr="00912FBC" w:rsidRDefault="00F86A13">
      <w:pPr>
        <w:rPr>
          <w:b/>
          <w:sz w:val="20"/>
          <w:szCs w:val="20"/>
        </w:rPr>
      </w:pPr>
      <w:r w:rsidRPr="00912FBC">
        <w:rPr>
          <w:b/>
          <w:sz w:val="20"/>
          <w:szCs w:val="20"/>
        </w:rPr>
        <w:t>LARGE GROWTH</w:t>
      </w:r>
    </w:p>
    <w:p w:rsidR="00171B15" w:rsidRPr="00912FBC" w:rsidRDefault="00171B15" w:rsidP="00171B15">
      <w:pPr>
        <w:rPr>
          <w:sz w:val="20"/>
          <w:szCs w:val="20"/>
        </w:rPr>
      </w:pPr>
      <w:r w:rsidRPr="00912FBC">
        <w:rPr>
          <w:sz w:val="20"/>
          <w:szCs w:val="20"/>
        </w:rPr>
        <w:t xml:space="preserve">Passive </w:t>
      </w:r>
      <w:r w:rsidR="00C901D0" w:rsidRPr="00912FBC">
        <w:rPr>
          <w:sz w:val="20"/>
          <w:szCs w:val="20"/>
        </w:rPr>
        <w:t>Fund</w:t>
      </w:r>
      <w:r w:rsidRPr="00912FBC">
        <w:rPr>
          <w:sz w:val="20"/>
          <w:szCs w:val="20"/>
        </w:rPr>
        <w:t>:</w:t>
      </w:r>
      <w:r w:rsidR="00E973CE" w:rsidRPr="00912FBC">
        <w:rPr>
          <w:sz w:val="20"/>
          <w:szCs w:val="20"/>
        </w:rPr>
        <w:t xml:space="preserve">  </w:t>
      </w:r>
      <w:r w:rsidR="00C901D0" w:rsidRPr="00912FBC">
        <w:rPr>
          <w:sz w:val="20"/>
          <w:szCs w:val="20"/>
        </w:rPr>
        <w:t>VIGIX  Vanguard Growth</w:t>
      </w:r>
    </w:p>
    <w:p w:rsidR="000F4649" w:rsidRPr="00912FBC" w:rsidRDefault="000F4649">
      <w:pPr>
        <w:rPr>
          <w:sz w:val="20"/>
          <w:szCs w:val="20"/>
        </w:rPr>
      </w:pPr>
    </w:p>
    <w:p w:rsidR="00BA3E92" w:rsidRPr="00912FBC" w:rsidRDefault="00E973CE">
      <w:pPr>
        <w:rPr>
          <w:sz w:val="20"/>
          <w:szCs w:val="20"/>
          <w:u w:val="single"/>
        </w:rPr>
      </w:pPr>
      <w:r w:rsidRPr="00912FBC">
        <w:rPr>
          <w:sz w:val="20"/>
          <w:szCs w:val="20"/>
          <w:u w:val="single"/>
        </w:rPr>
        <w:t>Active OEF choices:</w:t>
      </w:r>
    </w:p>
    <w:p w:rsidR="001A71E2" w:rsidRPr="00912FBC" w:rsidRDefault="00FD67A8" w:rsidP="00A90C7D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SEQU</w:t>
      </w:r>
      <w:r w:rsidR="001A71E2" w:rsidRPr="00912FBC">
        <w:rPr>
          <w:sz w:val="20"/>
          <w:szCs w:val="20"/>
        </w:rPr>
        <w:t>X</w:t>
      </w:r>
      <w:r w:rsidR="001A71E2" w:rsidRPr="00912FBC">
        <w:rPr>
          <w:sz w:val="20"/>
          <w:szCs w:val="20"/>
        </w:rPr>
        <w:tab/>
      </w:r>
      <w:r>
        <w:rPr>
          <w:sz w:val="20"/>
          <w:szCs w:val="20"/>
        </w:rPr>
        <w:t>Sequoia Fund</w:t>
      </w:r>
    </w:p>
    <w:p w:rsidR="001A71E2" w:rsidRPr="00912FBC" w:rsidRDefault="001A71E2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FBGRX</w:t>
      </w:r>
      <w:r w:rsidRPr="00912FBC">
        <w:rPr>
          <w:sz w:val="20"/>
          <w:szCs w:val="20"/>
        </w:rPr>
        <w:tab/>
        <w:t>Fidelity Blue Chip Growth</w:t>
      </w:r>
    </w:p>
    <w:p w:rsidR="00E973CE" w:rsidRPr="00912FBC" w:rsidRDefault="00865152" w:rsidP="00A90C7D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HCAIX</w:t>
      </w:r>
      <w:r w:rsidR="006729F4" w:rsidRPr="00912FBC">
        <w:rPr>
          <w:sz w:val="20"/>
          <w:szCs w:val="20"/>
        </w:rPr>
        <w:tab/>
      </w:r>
      <w:r>
        <w:rPr>
          <w:sz w:val="20"/>
          <w:szCs w:val="20"/>
        </w:rPr>
        <w:t>Harbor Capital Appreciation</w:t>
      </w:r>
    </w:p>
    <w:p w:rsidR="001A71E2" w:rsidRPr="00912FBC" w:rsidRDefault="001A71E2" w:rsidP="008D147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SGROX</w:t>
      </w:r>
      <w:r w:rsidRPr="00912FBC">
        <w:rPr>
          <w:sz w:val="20"/>
          <w:szCs w:val="20"/>
        </w:rPr>
        <w:tab/>
        <w:t>Wells Fargo Advantage Growth</w:t>
      </w:r>
    </w:p>
    <w:p w:rsidR="008D1476" w:rsidRPr="00912FBC" w:rsidRDefault="008D1476" w:rsidP="008D147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TRBCX</w:t>
      </w:r>
      <w:r w:rsidRPr="00912FBC">
        <w:rPr>
          <w:sz w:val="20"/>
          <w:szCs w:val="20"/>
        </w:rPr>
        <w:tab/>
        <w:t>T Rowe Price Blue Chip Growth</w:t>
      </w:r>
    </w:p>
    <w:p w:rsidR="00A90C7D" w:rsidRPr="00912FBC" w:rsidRDefault="009F5774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VPMCX</w:t>
      </w:r>
      <w:r w:rsidR="00A90C7D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 xml:space="preserve">Vanguard </w:t>
      </w:r>
      <w:r w:rsidR="00A90C7D" w:rsidRPr="00912FBC">
        <w:rPr>
          <w:sz w:val="20"/>
          <w:szCs w:val="20"/>
        </w:rPr>
        <w:t>Primecap</w:t>
      </w:r>
    </w:p>
    <w:p w:rsidR="00E973CE" w:rsidRPr="00912FBC" w:rsidRDefault="00E973CE" w:rsidP="00A90C7D">
      <w:pPr>
        <w:tabs>
          <w:tab w:val="left" w:pos="1440"/>
        </w:tabs>
        <w:rPr>
          <w:sz w:val="20"/>
          <w:szCs w:val="20"/>
        </w:rPr>
      </w:pPr>
    </w:p>
    <w:p w:rsidR="008B298C" w:rsidRPr="00912FBC" w:rsidRDefault="008B298C" w:rsidP="00A90C7D">
      <w:pPr>
        <w:tabs>
          <w:tab w:val="left" w:pos="1440"/>
        </w:tabs>
        <w:rPr>
          <w:sz w:val="20"/>
          <w:szCs w:val="20"/>
        </w:rPr>
      </w:pPr>
    </w:p>
    <w:p w:rsidR="005245E9" w:rsidRDefault="005245E9">
      <w:pPr>
        <w:rPr>
          <w:b/>
          <w:sz w:val="20"/>
          <w:szCs w:val="20"/>
        </w:rPr>
      </w:pPr>
    </w:p>
    <w:p w:rsidR="000F4649" w:rsidRPr="00912FBC" w:rsidRDefault="000F4649">
      <w:pPr>
        <w:rPr>
          <w:b/>
          <w:sz w:val="20"/>
          <w:szCs w:val="20"/>
        </w:rPr>
      </w:pPr>
      <w:r w:rsidRPr="00912FBC">
        <w:rPr>
          <w:b/>
          <w:sz w:val="20"/>
          <w:szCs w:val="20"/>
        </w:rPr>
        <w:t>SMALL VALUE</w:t>
      </w:r>
    </w:p>
    <w:p w:rsidR="00171B15" w:rsidRPr="00912FBC" w:rsidRDefault="00171B15" w:rsidP="00171B15">
      <w:pPr>
        <w:rPr>
          <w:sz w:val="20"/>
          <w:szCs w:val="20"/>
        </w:rPr>
      </w:pPr>
      <w:r w:rsidRPr="00912FBC">
        <w:rPr>
          <w:sz w:val="20"/>
          <w:szCs w:val="20"/>
        </w:rPr>
        <w:t xml:space="preserve">Passive </w:t>
      </w:r>
      <w:r w:rsidR="004B24D8" w:rsidRPr="00912FBC">
        <w:rPr>
          <w:sz w:val="20"/>
          <w:szCs w:val="20"/>
        </w:rPr>
        <w:t>Fund</w:t>
      </w:r>
      <w:r w:rsidRPr="00912FBC">
        <w:rPr>
          <w:sz w:val="20"/>
          <w:szCs w:val="20"/>
        </w:rPr>
        <w:t>:</w:t>
      </w:r>
      <w:r w:rsidR="008B298C" w:rsidRPr="00912FBC">
        <w:rPr>
          <w:sz w:val="20"/>
          <w:szCs w:val="20"/>
        </w:rPr>
        <w:t xml:space="preserve"> </w:t>
      </w:r>
      <w:r w:rsidR="004B24D8" w:rsidRPr="00912FBC">
        <w:rPr>
          <w:sz w:val="20"/>
          <w:szCs w:val="20"/>
        </w:rPr>
        <w:t>VSIIX   Vanguard Small Cap Value</w:t>
      </w:r>
    </w:p>
    <w:p w:rsidR="000F4649" w:rsidRPr="00912FBC" w:rsidRDefault="000F4649">
      <w:pPr>
        <w:rPr>
          <w:sz w:val="20"/>
          <w:szCs w:val="20"/>
        </w:rPr>
      </w:pPr>
    </w:p>
    <w:p w:rsidR="00A90C7D" w:rsidRPr="00912FBC" w:rsidRDefault="00A90C7D" w:rsidP="00A90C7D">
      <w:pPr>
        <w:rPr>
          <w:sz w:val="20"/>
          <w:szCs w:val="20"/>
          <w:u w:val="single"/>
        </w:rPr>
      </w:pPr>
      <w:r w:rsidRPr="00912FBC">
        <w:rPr>
          <w:sz w:val="20"/>
          <w:szCs w:val="20"/>
          <w:u w:val="single"/>
        </w:rPr>
        <w:t>Active OEF choices:</w:t>
      </w:r>
    </w:p>
    <w:p w:rsidR="00A90C7D" w:rsidRPr="00912FBC" w:rsidRDefault="00EB04F5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ASVIX</w:t>
      </w:r>
      <w:r w:rsidR="00A90C7D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American Century Small Cap Value</w:t>
      </w:r>
    </w:p>
    <w:p w:rsidR="00A90C7D" w:rsidRPr="00912FBC" w:rsidRDefault="00EB04F5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D</w:t>
      </w:r>
      <w:r w:rsidR="00573531" w:rsidRPr="00912FBC">
        <w:rPr>
          <w:sz w:val="20"/>
          <w:szCs w:val="20"/>
        </w:rPr>
        <w:t>FSVX</w:t>
      </w:r>
      <w:r w:rsidR="00A90C7D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D</w:t>
      </w:r>
      <w:r w:rsidR="00573531" w:rsidRPr="00912FBC">
        <w:rPr>
          <w:sz w:val="20"/>
          <w:szCs w:val="20"/>
        </w:rPr>
        <w:t>FA Small Cap Value</w:t>
      </w:r>
    </w:p>
    <w:p w:rsidR="00D9393E" w:rsidRPr="00912FBC" w:rsidRDefault="00D9393E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FCVAX</w:t>
      </w:r>
      <w:r w:rsidRPr="00912FBC">
        <w:rPr>
          <w:sz w:val="20"/>
          <w:szCs w:val="20"/>
        </w:rPr>
        <w:tab/>
        <w:t>Fidelity Advisor Small Cap Value</w:t>
      </w:r>
    </w:p>
    <w:p w:rsidR="00D9393E" w:rsidRPr="00912FBC" w:rsidRDefault="00D9393E" w:rsidP="00A90C7D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FRMCX</w:t>
      </w:r>
      <w:r w:rsidRPr="00912FBC">
        <w:rPr>
          <w:sz w:val="20"/>
          <w:szCs w:val="20"/>
        </w:rPr>
        <w:tab/>
        <w:t>Franklin Micro Cap Value</w:t>
      </w:r>
    </w:p>
    <w:p w:rsidR="00A90C7D" w:rsidRPr="00912FBC" w:rsidRDefault="00D803B9" w:rsidP="00A90C7D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DHSI</w:t>
      </w:r>
      <w:r w:rsidR="001A71E2" w:rsidRPr="00912FBC">
        <w:rPr>
          <w:sz w:val="20"/>
          <w:szCs w:val="20"/>
        </w:rPr>
        <w:t>X</w:t>
      </w:r>
      <w:r w:rsidR="00A90C7D" w:rsidRPr="00912FBC">
        <w:rPr>
          <w:sz w:val="20"/>
          <w:szCs w:val="20"/>
        </w:rPr>
        <w:tab/>
      </w:r>
      <w:r>
        <w:rPr>
          <w:sz w:val="20"/>
          <w:szCs w:val="20"/>
        </w:rPr>
        <w:t>Diamond Hill Small Cap</w:t>
      </w:r>
    </w:p>
    <w:p w:rsidR="00A90C7D" w:rsidRPr="00912FBC" w:rsidRDefault="00D803B9" w:rsidP="00A90C7D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AVPA</w:t>
      </w:r>
      <w:r w:rsidR="00EB04F5" w:rsidRPr="00912FBC">
        <w:rPr>
          <w:sz w:val="20"/>
          <w:szCs w:val="20"/>
        </w:rPr>
        <w:t>X</w:t>
      </w:r>
      <w:r w:rsidR="00EB04F5" w:rsidRPr="00912FBC">
        <w:rPr>
          <w:sz w:val="20"/>
          <w:szCs w:val="20"/>
        </w:rPr>
        <w:tab/>
      </w:r>
      <w:r>
        <w:rPr>
          <w:sz w:val="20"/>
          <w:szCs w:val="20"/>
        </w:rPr>
        <w:t>American Beacon Small Value</w:t>
      </w:r>
    </w:p>
    <w:p w:rsidR="00A90C7D" w:rsidRPr="00912FBC" w:rsidRDefault="00A90C7D" w:rsidP="00A90C7D">
      <w:pPr>
        <w:tabs>
          <w:tab w:val="left" w:pos="1440"/>
        </w:tabs>
        <w:rPr>
          <w:sz w:val="20"/>
          <w:szCs w:val="20"/>
        </w:rPr>
      </w:pPr>
    </w:p>
    <w:p w:rsidR="00AE3812" w:rsidRPr="00912FBC" w:rsidRDefault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Pr="00912FBC" w:rsidRDefault="00912FBC" w:rsidP="00AE3812">
      <w:pPr>
        <w:rPr>
          <w:b/>
          <w:sz w:val="20"/>
          <w:szCs w:val="20"/>
        </w:rPr>
      </w:pPr>
    </w:p>
    <w:p w:rsidR="00912FBC" w:rsidRDefault="00912FBC" w:rsidP="00AE3812">
      <w:pPr>
        <w:rPr>
          <w:b/>
          <w:sz w:val="20"/>
          <w:szCs w:val="20"/>
        </w:rPr>
      </w:pPr>
    </w:p>
    <w:p w:rsidR="00912FBC" w:rsidRDefault="00912FBC" w:rsidP="00AE3812">
      <w:pPr>
        <w:rPr>
          <w:b/>
          <w:sz w:val="20"/>
          <w:szCs w:val="20"/>
        </w:rPr>
      </w:pPr>
    </w:p>
    <w:p w:rsidR="00912FBC" w:rsidRDefault="00912FBC" w:rsidP="00AE3812">
      <w:pPr>
        <w:rPr>
          <w:b/>
          <w:sz w:val="20"/>
          <w:szCs w:val="20"/>
        </w:rPr>
      </w:pPr>
    </w:p>
    <w:p w:rsidR="00912FBC" w:rsidRDefault="00912FBC" w:rsidP="00AE3812">
      <w:pPr>
        <w:rPr>
          <w:b/>
          <w:sz w:val="20"/>
          <w:szCs w:val="20"/>
        </w:rPr>
      </w:pPr>
    </w:p>
    <w:p w:rsidR="00AE3812" w:rsidRPr="00912FBC" w:rsidRDefault="00AE3812" w:rsidP="00AE3812">
      <w:pPr>
        <w:rPr>
          <w:b/>
          <w:sz w:val="20"/>
          <w:szCs w:val="20"/>
        </w:rPr>
      </w:pPr>
      <w:r w:rsidRPr="00912FBC">
        <w:rPr>
          <w:b/>
          <w:sz w:val="20"/>
          <w:szCs w:val="20"/>
        </w:rPr>
        <w:lastRenderedPageBreak/>
        <w:t>SMALL GROWTH</w:t>
      </w:r>
    </w:p>
    <w:p w:rsidR="00AE3812" w:rsidRPr="00912FBC" w:rsidRDefault="00AE3812" w:rsidP="00AE3812">
      <w:pPr>
        <w:rPr>
          <w:sz w:val="20"/>
          <w:szCs w:val="20"/>
        </w:rPr>
      </w:pPr>
      <w:r w:rsidRPr="00912FBC">
        <w:rPr>
          <w:sz w:val="20"/>
          <w:szCs w:val="20"/>
        </w:rPr>
        <w:t xml:space="preserve">Passive </w:t>
      </w:r>
      <w:r w:rsidR="004B24D8" w:rsidRPr="00912FBC">
        <w:rPr>
          <w:sz w:val="20"/>
          <w:szCs w:val="20"/>
        </w:rPr>
        <w:t xml:space="preserve">Fund: VSGIX </w:t>
      </w:r>
      <w:r w:rsidR="00912FBC" w:rsidRPr="00912FBC">
        <w:rPr>
          <w:sz w:val="20"/>
          <w:szCs w:val="20"/>
        </w:rPr>
        <w:t xml:space="preserve">  </w:t>
      </w:r>
      <w:r w:rsidR="004B24D8" w:rsidRPr="00912FBC">
        <w:rPr>
          <w:sz w:val="20"/>
          <w:szCs w:val="20"/>
        </w:rPr>
        <w:t>Vanguard Small Cap Growth</w:t>
      </w:r>
    </w:p>
    <w:p w:rsidR="00AE3812" w:rsidRPr="00912FBC" w:rsidRDefault="00AE3812" w:rsidP="00AE3812">
      <w:pPr>
        <w:rPr>
          <w:sz w:val="20"/>
          <w:szCs w:val="20"/>
          <w:u w:val="single"/>
        </w:rPr>
      </w:pPr>
    </w:p>
    <w:p w:rsidR="00AE3812" w:rsidRPr="00912FBC" w:rsidRDefault="00AE3812" w:rsidP="00AE3812">
      <w:pPr>
        <w:rPr>
          <w:sz w:val="20"/>
          <w:szCs w:val="20"/>
          <w:u w:val="single"/>
        </w:rPr>
      </w:pPr>
      <w:r w:rsidRPr="00912FBC">
        <w:rPr>
          <w:sz w:val="20"/>
          <w:szCs w:val="20"/>
          <w:u w:val="single"/>
        </w:rPr>
        <w:t>Active OEF choices:</w:t>
      </w:r>
    </w:p>
    <w:p w:rsidR="00AE3812" w:rsidRPr="00912FBC" w:rsidRDefault="00AE3812" w:rsidP="00AE3812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ARTSX</w:t>
      </w:r>
      <w:r w:rsidRPr="00912FBC">
        <w:rPr>
          <w:sz w:val="20"/>
          <w:szCs w:val="20"/>
        </w:rPr>
        <w:tab/>
        <w:t>Artisan Small Cap</w:t>
      </w:r>
    </w:p>
    <w:p w:rsidR="00AE3812" w:rsidRPr="00912FBC" w:rsidRDefault="001A71E2" w:rsidP="00AE3812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AUSAX</w:t>
      </w:r>
      <w:r w:rsidR="00AE3812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Columbia Acorn</w:t>
      </w:r>
    </w:p>
    <w:p w:rsidR="00AE3812" w:rsidRPr="00912FBC" w:rsidRDefault="00AE3812" w:rsidP="00AE3812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CHNDX</w:t>
      </w:r>
      <w:r w:rsidRPr="00912FBC">
        <w:rPr>
          <w:sz w:val="20"/>
          <w:szCs w:val="20"/>
        </w:rPr>
        <w:tab/>
        <w:t>Prudential Jennison</w:t>
      </w:r>
    </w:p>
    <w:p w:rsidR="00AE3812" w:rsidRPr="00912FBC" w:rsidRDefault="00AE3812" w:rsidP="00AE3812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PRNHX</w:t>
      </w:r>
      <w:r w:rsidRPr="00912FBC">
        <w:rPr>
          <w:sz w:val="20"/>
          <w:szCs w:val="20"/>
        </w:rPr>
        <w:tab/>
        <w:t>T Rowe Price New Horizons</w:t>
      </w:r>
    </w:p>
    <w:p w:rsidR="00D9393E" w:rsidRPr="00912FBC" w:rsidRDefault="00D9393E" w:rsidP="00AE3812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VEXPX</w:t>
      </w:r>
      <w:r w:rsidRPr="00912FBC">
        <w:rPr>
          <w:sz w:val="20"/>
          <w:szCs w:val="20"/>
        </w:rPr>
        <w:tab/>
        <w:t>Vanguard Explorer</w:t>
      </w:r>
    </w:p>
    <w:p w:rsidR="00AE3812" w:rsidRPr="00912FBC" w:rsidRDefault="00AE3812" w:rsidP="00AE3812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WAAEX</w:t>
      </w:r>
      <w:r w:rsidRPr="00912FBC">
        <w:rPr>
          <w:sz w:val="20"/>
          <w:szCs w:val="20"/>
        </w:rPr>
        <w:tab/>
        <w:t>Wasatch Small Cap Growth</w:t>
      </w:r>
    </w:p>
    <w:p w:rsidR="009C3C6F" w:rsidRPr="00912FBC" w:rsidRDefault="009C3C6F" w:rsidP="00234156">
      <w:pPr>
        <w:rPr>
          <w:b/>
          <w:sz w:val="20"/>
          <w:szCs w:val="20"/>
        </w:rPr>
      </w:pPr>
    </w:p>
    <w:p w:rsidR="009C3C6F" w:rsidRPr="00912FBC" w:rsidRDefault="009C3C6F" w:rsidP="00234156">
      <w:pPr>
        <w:rPr>
          <w:b/>
          <w:sz w:val="20"/>
          <w:szCs w:val="20"/>
        </w:rPr>
      </w:pPr>
    </w:p>
    <w:p w:rsidR="005245E9" w:rsidRDefault="005245E9" w:rsidP="00234156">
      <w:pPr>
        <w:rPr>
          <w:b/>
          <w:sz w:val="20"/>
          <w:szCs w:val="20"/>
        </w:rPr>
      </w:pPr>
    </w:p>
    <w:p w:rsidR="00234156" w:rsidRPr="00912FBC" w:rsidRDefault="00234156" w:rsidP="00234156">
      <w:pPr>
        <w:rPr>
          <w:b/>
          <w:sz w:val="20"/>
          <w:szCs w:val="20"/>
        </w:rPr>
      </w:pPr>
      <w:r w:rsidRPr="00912FBC">
        <w:rPr>
          <w:b/>
          <w:sz w:val="20"/>
          <w:szCs w:val="20"/>
        </w:rPr>
        <w:t>INTERNATIONAL BLEND</w:t>
      </w:r>
    </w:p>
    <w:p w:rsidR="00234156" w:rsidRPr="00912FBC" w:rsidRDefault="00234156" w:rsidP="00234156">
      <w:pPr>
        <w:rPr>
          <w:sz w:val="20"/>
          <w:szCs w:val="20"/>
        </w:rPr>
      </w:pPr>
      <w:r w:rsidRPr="00912FBC">
        <w:rPr>
          <w:sz w:val="20"/>
          <w:szCs w:val="20"/>
        </w:rPr>
        <w:t xml:space="preserve">Passive </w:t>
      </w:r>
      <w:r w:rsidR="00C3612C" w:rsidRPr="00912FBC">
        <w:rPr>
          <w:sz w:val="20"/>
          <w:szCs w:val="20"/>
        </w:rPr>
        <w:t>Fund</w:t>
      </w:r>
      <w:r w:rsidRPr="00912FBC">
        <w:rPr>
          <w:sz w:val="20"/>
          <w:szCs w:val="20"/>
        </w:rPr>
        <w:t xml:space="preserve">:  </w:t>
      </w:r>
      <w:r w:rsidR="00C3612C" w:rsidRPr="00912FBC">
        <w:rPr>
          <w:sz w:val="20"/>
          <w:szCs w:val="20"/>
        </w:rPr>
        <w:t>SWISX</w:t>
      </w:r>
      <w:r w:rsidRPr="00912FBC">
        <w:rPr>
          <w:sz w:val="20"/>
          <w:szCs w:val="20"/>
        </w:rPr>
        <w:t xml:space="preserve">  </w:t>
      </w:r>
      <w:r w:rsidR="004B24D8" w:rsidRPr="00912FBC">
        <w:rPr>
          <w:sz w:val="20"/>
          <w:szCs w:val="20"/>
        </w:rPr>
        <w:t xml:space="preserve"> Schwab International </w:t>
      </w:r>
      <w:r w:rsidRPr="00912FBC">
        <w:rPr>
          <w:sz w:val="20"/>
          <w:szCs w:val="20"/>
        </w:rPr>
        <w:t xml:space="preserve"> </w:t>
      </w:r>
    </w:p>
    <w:p w:rsidR="00234156" w:rsidRPr="00912FBC" w:rsidRDefault="00234156" w:rsidP="00234156">
      <w:pPr>
        <w:rPr>
          <w:sz w:val="20"/>
          <w:szCs w:val="20"/>
          <w:u w:val="single"/>
        </w:rPr>
      </w:pPr>
    </w:p>
    <w:p w:rsidR="00234156" w:rsidRPr="00912FBC" w:rsidRDefault="00234156" w:rsidP="00234156">
      <w:pPr>
        <w:rPr>
          <w:sz w:val="20"/>
          <w:szCs w:val="20"/>
          <w:u w:val="single"/>
        </w:rPr>
      </w:pPr>
      <w:r w:rsidRPr="00912FBC">
        <w:rPr>
          <w:sz w:val="20"/>
          <w:szCs w:val="20"/>
          <w:u w:val="single"/>
        </w:rPr>
        <w:t>Active OEF choices:</w:t>
      </w:r>
    </w:p>
    <w:p w:rsidR="00234156" w:rsidRPr="00912FBC" w:rsidRDefault="00C3612C" w:rsidP="0023415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ARTKX</w:t>
      </w:r>
      <w:r w:rsidR="00234156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Artisan</w:t>
      </w:r>
      <w:r w:rsidR="00AE3812" w:rsidRPr="00912FBC">
        <w:rPr>
          <w:sz w:val="20"/>
          <w:szCs w:val="20"/>
        </w:rPr>
        <w:t xml:space="preserve"> International </w:t>
      </w:r>
    </w:p>
    <w:p w:rsidR="00234156" w:rsidRPr="00912FBC" w:rsidRDefault="00C3612C" w:rsidP="0023415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CIVIX</w:t>
      </w:r>
      <w:r w:rsidR="00234156" w:rsidRPr="00912FBC">
        <w:rPr>
          <w:sz w:val="20"/>
          <w:szCs w:val="20"/>
        </w:rPr>
        <w:tab/>
      </w:r>
      <w:r w:rsidR="00AE3812" w:rsidRPr="00912FBC">
        <w:rPr>
          <w:sz w:val="20"/>
          <w:szCs w:val="20"/>
        </w:rPr>
        <w:t>Causeway International</w:t>
      </w:r>
    </w:p>
    <w:p w:rsidR="00234156" w:rsidRPr="00912FBC" w:rsidRDefault="00C3612C" w:rsidP="0023415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DODFX</w:t>
      </w:r>
      <w:r w:rsidR="00234156" w:rsidRPr="00912FBC">
        <w:rPr>
          <w:sz w:val="20"/>
          <w:szCs w:val="20"/>
        </w:rPr>
        <w:tab/>
      </w:r>
      <w:r w:rsidR="00AE3812" w:rsidRPr="00912FBC">
        <w:rPr>
          <w:sz w:val="20"/>
          <w:szCs w:val="20"/>
        </w:rPr>
        <w:t xml:space="preserve">Dodge &amp; Cox International </w:t>
      </w:r>
    </w:p>
    <w:p w:rsidR="009C3C6F" w:rsidRPr="00912FBC" w:rsidRDefault="009C3C6F" w:rsidP="009C3C6F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HAINX</w:t>
      </w:r>
      <w:r w:rsidRPr="00912FBC">
        <w:rPr>
          <w:sz w:val="20"/>
          <w:szCs w:val="20"/>
        </w:rPr>
        <w:tab/>
        <w:t>Harbor International</w:t>
      </w:r>
    </w:p>
    <w:p w:rsidR="009C3C6F" w:rsidRPr="00912FBC" w:rsidRDefault="009C3C6F" w:rsidP="0023415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L</w:t>
      </w:r>
      <w:r w:rsidR="00C002D2">
        <w:rPr>
          <w:sz w:val="20"/>
          <w:szCs w:val="20"/>
        </w:rPr>
        <w:t>ISO</w:t>
      </w:r>
      <w:r w:rsidRPr="00912FBC">
        <w:rPr>
          <w:sz w:val="20"/>
          <w:szCs w:val="20"/>
        </w:rPr>
        <w:t>X</w:t>
      </w:r>
      <w:r w:rsidRPr="00912FBC">
        <w:rPr>
          <w:sz w:val="20"/>
          <w:szCs w:val="20"/>
        </w:rPr>
        <w:tab/>
      </w:r>
      <w:r w:rsidR="00C002D2">
        <w:rPr>
          <w:sz w:val="20"/>
          <w:szCs w:val="20"/>
        </w:rPr>
        <w:t>Lazard</w:t>
      </w:r>
      <w:r w:rsidRPr="00912FBC">
        <w:rPr>
          <w:sz w:val="20"/>
          <w:szCs w:val="20"/>
        </w:rPr>
        <w:t xml:space="preserve"> International </w:t>
      </w:r>
    </w:p>
    <w:p w:rsidR="00234156" w:rsidRPr="00912FBC" w:rsidRDefault="00AE3812" w:rsidP="00234156">
      <w:pPr>
        <w:tabs>
          <w:tab w:val="left" w:pos="1440"/>
        </w:tabs>
        <w:rPr>
          <w:sz w:val="20"/>
          <w:szCs w:val="20"/>
        </w:rPr>
      </w:pPr>
      <w:r w:rsidRPr="00912FBC">
        <w:rPr>
          <w:sz w:val="20"/>
          <w:szCs w:val="20"/>
        </w:rPr>
        <w:t>TROSX</w:t>
      </w:r>
      <w:r w:rsidR="00234156" w:rsidRPr="00912FBC">
        <w:rPr>
          <w:sz w:val="20"/>
          <w:szCs w:val="20"/>
        </w:rPr>
        <w:tab/>
      </w:r>
      <w:r w:rsidRPr="00912FBC">
        <w:rPr>
          <w:sz w:val="20"/>
          <w:szCs w:val="20"/>
        </w:rPr>
        <w:t>T Rowe Price Overseas</w:t>
      </w:r>
    </w:p>
    <w:sectPr w:rsidR="00234156" w:rsidRPr="00912FBC" w:rsidSect="00912FBC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3F" w:rsidRDefault="00801E3F" w:rsidP="00BA3E92">
      <w:r>
        <w:separator/>
      </w:r>
    </w:p>
  </w:endnote>
  <w:endnote w:type="continuationSeparator" w:id="0">
    <w:p w:rsidR="00801E3F" w:rsidRDefault="00801E3F" w:rsidP="00BA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849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E92" w:rsidRDefault="00BA3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E92" w:rsidRDefault="00BA3E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3F" w:rsidRDefault="00801E3F" w:rsidP="00BA3E92">
      <w:r>
        <w:separator/>
      </w:r>
    </w:p>
  </w:footnote>
  <w:footnote w:type="continuationSeparator" w:id="0">
    <w:p w:rsidR="00801E3F" w:rsidRDefault="00801E3F" w:rsidP="00BA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DAF"/>
    <w:multiLevelType w:val="hybridMultilevel"/>
    <w:tmpl w:val="D7E4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0E"/>
    <w:rsid w:val="00012BB3"/>
    <w:rsid w:val="000227C9"/>
    <w:rsid w:val="00024AD4"/>
    <w:rsid w:val="00027F16"/>
    <w:rsid w:val="00032044"/>
    <w:rsid w:val="000335E5"/>
    <w:rsid w:val="00034149"/>
    <w:rsid w:val="00035CCB"/>
    <w:rsid w:val="0003771C"/>
    <w:rsid w:val="00040C63"/>
    <w:rsid w:val="000413AD"/>
    <w:rsid w:val="0004693E"/>
    <w:rsid w:val="00050129"/>
    <w:rsid w:val="0006765A"/>
    <w:rsid w:val="0007276D"/>
    <w:rsid w:val="0007666A"/>
    <w:rsid w:val="00077E5F"/>
    <w:rsid w:val="000828A8"/>
    <w:rsid w:val="000854AE"/>
    <w:rsid w:val="0009661D"/>
    <w:rsid w:val="000A21B9"/>
    <w:rsid w:val="000A5F0E"/>
    <w:rsid w:val="000A629A"/>
    <w:rsid w:val="000B7BEC"/>
    <w:rsid w:val="000C70E6"/>
    <w:rsid w:val="000D5B76"/>
    <w:rsid w:val="000D606B"/>
    <w:rsid w:val="000E5564"/>
    <w:rsid w:val="000F2AFB"/>
    <w:rsid w:val="000F3E15"/>
    <w:rsid w:val="000F4649"/>
    <w:rsid w:val="000F74D8"/>
    <w:rsid w:val="001004F7"/>
    <w:rsid w:val="00103BB7"/>
    <w:rsid w:val="001076BA"/>
    <w:rsid w:val="00110A16"/>
    <w:rsid w:val="001156AD"/>
    <w:rsid w:val="00123D43"/>
    <w:rsid w:val="0013491D"/>
    <w:rsid w:val="001405C9"/>
    <w:rsid w:val="00154FC6"/>
    <w:rsid w:val="001562E9"/>
    <w:rsid w:val="00167D0D"/>
    <w:rsid w:val="0017087D"/>
    <w:rsid w:val="00171B15"/>
    <w:rsid w:val="00182AA9"/>
    <w:rsid w:val="00183914"/>
    <w:rsid w:val="0018576C"/>
    <w:rsid w:val="001877BC"/>
    <w:rsid w:val="001920CC"/>
    <w:rsid w:val="00193176"/>
    <w:rsid w:val="00193CC9"/>
    <w:rsid w:val="001A1EC1"/>
    <w:rsid w:val="001A5FD8"/>
    <w:rsid w:val="001A71E2"/>
    <w:rsid w:val="001A7ED3"/>
    <w:rsid w:val="001B0F57"/>
    <w:rsid w:val="001B2512"/>
    <w:rsid w:val="001B34CA"/>
    <w:rsid w:val="001B55F0"/>
    <w:rsid w:val="001C02BB"/>
    <w:rsid w:val="001C3293"/>
    <w:rsid w:val="001C7428"/>
    <w:rsid w:val="001D2881"/>
    <w:rsid w:val="001D6376"/>
    <w:rsid w:val="001E047A"/>
    <w:rsid w:val="001E487B"/>
    <w:rsid w:val="0020098D"/>
    <w:rsid w:val="00203A4A"/>
    <w:rsid w:val="00204104"/>
    <w:rsid w:val="00214ECD"/>
    <w:rsid w:val="00215F45"/>
    <w:rsid w:val="00222B8E"/>
    <w:rsid w:val="00225807"/>
    <w:rsid w:val="00226027"/>
    <w:rsid w:val="00234156"/>
    <w:rsid w:val="00255AE0"/>
    <w:rsid w:val="00262DE6"/>
    <w:rsid w:val="00274A35"/>
    <w:rsid w:val="00275658"/>
    <w:rsid w:val="002809A8"/>
    <w:rsid w:val="00281EE1"/>
    <w:rsid w:val="002827B5"/>
    <w:rsid w:val="00282EF9"/>
    <w:rsid w:val="002840FC"/>
    <w:rsid w:val="0028776E"/>
    <w:rsid w:val="00292EE8"/>
    <w:rsid w:val="002A5907"/>
    <w:rsid w:val="002A6C71"/>
    <w:rsid w:val="002A6CE2"/>
    <w:rsid w:val="002A7CF2"/>
    <w:rsid w:val="002B0442"/>
    <w:rsid w:val="002B0699"/>
    <w:rsid w:val="002B1C16"/>
    <w:rsid w:val="002B2145"/>
    <w:rsid w:val="002B446C"/>
    <w:rsid w:val="002C272A"/>
    <w:rsid w:val="002C3429"/>
    <w:rsid w:val="002C4FD5"/>
    <w:rsid w:val="002C7323"/>
    <w:rsid w:val="002D1731"/>
    <w:rsid w:val="002D5224"/>
    <w:rsid w:val="002E059D"/>
    <w:rsid w:val="002E0840"/>
    <w:rsid w:val="002E0B21"/>
    <w:rsid w:val="002E7900"/>
    <w:rsid w:val="002F3152"/>
    <w:rsid w:val="002F39B8"/>
    <w:rsid w:val="002F54EF"/>
    <w:rsid w:val="002F59FD"/>
    <w:rsid w:val="002F61C5"/>
    <w:rsid w:val="00300FB1"/>
    <w:rsid w:val="003020F4"/>
    <w:rsid w:val="00303FBA"/>
    <w:rsid w:val="003046CC"/>
    <w:rsid w:val="0030607D"/>
    <w:rsid w:val="003166E7"/>
    <w:rsid w:val="00324C81"/>
    <w:rsid w:val="0032577A"/>
    <w:rsid w:val="00335A52"/>
    <w:rsid w:val="00336729"/>
    <w:rsid w:val="00347752"/>
    <w:rsid w:val="00350445"/>
    <w:rsid w:val="003529AF"/>
    <w:rsid w:val="00371B48"/>
    <w:rsid w:val="0037242E"/>
    <w:rsid w:val="003738EB"/>
    <w:rsid w:val="0037518C"/>
    <w:rsid w:val="00384B7A"/>
    <w:rsid w:val="003941A4"/>
    <w:rsid w:val="00396D2A"/>
    <w:rsid w:val="00396E04"/>
    <w:rsid w:val="003A316E"/>
    <w:rsid w:val="003A4AE3"/>
    <w:rsid w:val="003A50D1"/>
    <w:rsid w:val="003A7ACF"/>
    <w:rsid w:val="003B63EB"/>
    <w:rsid w:val="003B7340"/>
    <w:rsid w:val="003B7F95"/>
    <w:rsid w:val="003C0AA6"/>
    <w:rsid w:val="003C3960"/>
    <w:rsid w:val="003C4176"/>
    <w:rsid w:val="003C48DC"/>
    <w:rsid w:val="003E60E5"/>
    <w:rsid w:val="003F762B"/>
    <w:rsid w:val="003F7E3C"/>
    <w:rsid w:val="004203EF"/>
    <w:rsid w:val="004243C8"/>
    <w:rsid w:val="004316EF"/>
    <w:rsid w:val="00433FE2"/>
    <w:rsid w:val="004423FA"/>
    <w:rsid w:val="004441BA"/>
    <w:rsid w:val="00453DEB"/>
    <w:rsid w:val="00454B69"/>
    <w:rsid w:val="004575FC"/>
    <w:rsid w:val="0046303C"/>
    <w:rsid w:val="00490175"/>
    <w:rsid w:val="00497AB9"/>
    <w:rsid w:val="004B24D8"/>
    <w:rsid w:val="004B360A"/>
    <w:rsid w:val="004C4BD9"/>
    <w:rsid w:val="004C4FD2"/>
    <w:rsid w:val="004C7FB7"/>
    <w:rsid w:val="004D507C"/>
    <w:rsid w:val="004D5391"/>
    <w:rsid w:val="004D63A0"/>
    <w:rsid w:val="004E31A2"/>
    <w:rsid w:val="004F1415"/>
    <w:rsid w:val="004F2D56"/>
    <w:rsid w:val="004F3FFF"/>
    <w:rsid w:val="00512F62"/>
    <w:rsid w:val="00514610"/>
    <w:rsid w:val="0051507E"/>
    <w:rsid w:val="00516386"/>
    <w:rsid w:val="00520D72"/>
    <w:rsid w:val="005212DC"/>
    <w:rsid w:val="005245E9"/>
    <w:rsid w:val="00530B44"/>
    <w:rsid w:val="00532D87"/>
    <w:rsid w:val="00533710"/>
    <w:rsid w:val="00537D3D"/>
    <w:rsid w:val="0054148B"/>
    <w:rsid w:val="00542B14"/>
    <w:rsid w:val="00542DA3"/>
    <w:rsid w:val="00546690"/>
    <w:rsid w:val="0055749F"/>
    <w:rsid w:val="00563E17"/>
    <w:rsid w:val="00573531"/>
    <w:rsid w:val="00580FBF"/>
    <w:rsid w:val="00582F15"/>
    <w:rsid w:val="00582FBD"/>
    <w:rsid w:val="00587611"/>
    <w:rsid w:val="00594D5F"/>
    <w:rsid w:val="005A2C4A"/>
    <w:rsid w:val="005A6499"/>
    <w:rsid w:val="005B0751"/>
    <w:rsid w:val="005B19ED"/>
    <w:rsid w:val="005C2151"/>
    <w:rsid w:val="005C5A9F"/>
    <w:rsid w:val="005D3CC2"/>
    <w:rsid w:val="005D634C"/>
    <w:rsid w:val="005E1395"/>
    <w:rsid w:val="005E3D1D"/>
    <w:rsid w:val="005F2315"/>
    <w:rsid w:val="0061016D"/>
    <w:rsid w:val="00611946"/>
    <w:rsid w:val="006148E1"/>
    <w:rsid w:val="00614E84"/>
    <w:rsid w:val="00634966"/>
    <w:rsid w:val="00640906"/>
    <w:rsid w:val="0065288D"/>
    <w:rsid w:val="00654B4A"/>
    <w:rsid w:val="00660F29"/>
    <w:rsid w:val="00664366"/>
    <w:rsid w:val="00664385"/>
    <w:rsid w:val="00666BA6"/>
    <w:rsid w:val="006729F4"/>
    <w:rsid w:val="00677309"/>
    <w:rsid w:val="00677323"/>
    <w:rsid w:val="006833ED"/>
    <w:rsid w:val="00686B2C"/>
    <w:rsid w:val="00687E05"/>
    <w:rsid w:val="00697D9F"/>
    <w:rsid w:val="006A01F8"/>
    <w:rsid w:val="006A199B"/>
    <w:rsid w:val="006A4925"/>
    <w:rsid w:val="006D1760"/>
    <w:rsid w:val="006D3C16"/>
    <w:rsid w:val="006D773E"/>
    <w:rsid w:val="006E3B5B"/>
    <w:rsid w:val="006F1B76"/>
    <w:rsid w:val="006F48E5"/>
    <w:rsid w:val="00717963"/>
    <w:rsid w:val="00723718"/>
    <w:rsid w:val="00724335"/>
    <w:rsid w:val="0073234F"/>
    <w:rsid w:val="00733BB8"/>
    <w:rsid w:val="007340A8"/>
    <w:rsid w:val="007356D3"/>
    <w:rsid w:val="00752A1B"/>
    <w:rsid w:val="00756B13"/>
    <w:rsid w:val="0076167F"/>
    <w:rsid w:val="00765E26"/>
    <w:rsid w:val="00767936"/>
    <w:rsid w:val="00771982"/>
    <w:rsid w:val="00780556"/>
    <w:rsid w:val="00785F46"/>
    <w:rsid w:val="007A1604"/>
    <w:rsid w:val="007A3F44"/>
    <w:rsid w:val="007B3106"/>
    <w:rsid w:val="007B45AA"/>
    <w:rsid w:val="007C353A"/>
    <w:rsid w:val="007C7A65"/>
    <w:rsid w:val="007D428C"/>
    <w:rsid w:val="007E37BF"/>
    <w:rsid w:val="007E42DC"/>
    <w:rsid w:val="007E6F9C"/>
    <w:rsid w:val="007F050D"/>
    <w:rsid w:val="007F12E8"/>
    <w:rsid w:val="007F5B9C"/>
    <w:rsid w:val="007F6719"/>
    <w:rsid w:val="00801E3F"/>
    <w:rsid w:val="008027CC"/>
    <w:rsid w:val="00803420"/>
    <w:rsid w:val="00804C04"/>
    <w:rsid w:val="0080570A"/>
    <w:rsid w:val="00812B8A"/>
    <w:rsid w:val="008177C2"/>
    <w:rsid w:val="008302F5"/>
    <w:rsid w:val="008331EC"/>
    <w:rsid w:val="008350E3"/>
    <w:rsid w:val="00840778"/>
    <w:rsid w:val="0084637A"/>
    <w:rsid w:val="00851C0A"/>
    <w:rsid w:val="00852B73"/>
    <w:rsid w:val="00853DDE"/>
    <w:rsid w:val="00854F98"/>
    <w:rsid w:val="00855197"/>
    <w:rsid w:val="00855F94"/>
    <w:rsid w:val="00863059"/>
    <w:rsid w:val="00864C76"/>
    <w:rsid w:val="00865152"/>
    <w:rsid w:val="00894EF2"/>
    <w:rsid w:val="00897477"/>
    <w:rsid w:val="008A5BA9"/>
    <w:rsid w:val="008A64B5"/>
    <w:rsid w:val="008B134F"/>
    <w:rsid w:val="008B16D4"/>
    <w:rsid w:val="008B298C"/>
    <w:rsid w:val="008B3A7A"/>
    <w:rsid w:val="008B439E"/>
    <w:rsid w:val="008B5CDC"/>
    <w:rsid w:val="008B5FCF"/>
    <w:rsid w:val="008C0B63"/>
    <w:rsid w:val="008C496A"/>
    <w:rsid w:val="008C5166"/>
    <w:rsid w:val="008C709A"/>
    <w:rsid w:val="008D1476"/>
    <w:rsid w:val="008D76A2"/>
    <w:rsid w:val="008E074F"/>
    <w:rsid w:val="008E473D"/>
    <w:rsid w:val="008F1D75"/>
    <w:rsid w:val="008F1FFF"/>
    <w:rsid w:val="00900EF8"/>
    <w:rsid w:val="009122B9"/>
    <w:rsid w:val="00912FBC"/>
    <w:rsid w:val="009142B5"/>
    <w:rsid w:val="00917490"/>
    <w:rsid w:val="00925BD7"/>
    <w:rsid w:val="00932F25"/>
    <w:rsid w:val="009403E7"/>
    <w:rsid w:val="0095045F"/>
    <w:rsid w:val="00952B67"/>
    <w:rsid w:val="0097551B"/>
    <w:rsid w:val="00975CCF"/>
    <w:rsid w:val="0098319D"/>
    <w:rsid w:val="009C3C6F"/>
    <w:rsid w:val="009C6B74"/>
    <w:rsid w:val="009C6D87"/>
    <w:rsid w:val="009D403E"/>
    <w:rsid w:val="009E1395"/>
    <w:rsid w:val="009E3B0D"/>
    <w:rsid w:val="009E55F6"/>
    <w:rsid w:val="009F5774"/>
    <w:rsid w:val="009F6664"/>
    <w:rsid w:val="00A109AB"/>
    <w:rsid w:val="00A14091"/>
    <w:rsid w:val="00A17900"/>
    <w:rsid w:val="00A21171"/>
    <w:rsid w:val="00A2385F"/>
    <w:rsid w:val="00A24EF2"/>
    <w:rsid w:val="00A251CE"/>
    <w:rsid w:val="00A26CBF"/>
    <w:rsid w:val="00A31BE4"/>
    <w:rsid w:val="00A35286"/>
    <w:rsid w:val="00A434E4"/>
    <w:rsid w:val="00A47722"/>
    <w:rsid w:val="00A5041F"/>
    <w:rsid w:val="00A6316C"/>
    <w:rsid w:val="00A669E0"/>
    <w:rsid w:val="00A6724F"/>
    <w:rsid w:val="00A713CE"/>
    <w:rsid w:val="00A741B0"/>
    <w:rsid w:val="00A77E50"/>
    <w:rsid w:val="00A80FFF"/>
    <w:rsid w:val="00A844B4"/>
    <w:rsid w:val="00A8468A"/>
    <w:rsid w:val="00A84B2F"/>
    <w:rsid w:val="00A90C7D"/>
    <w:rsid w:val="00A949AD"/>
    <w:rsid w:val="00A94EF5"/>
    <w:rsid w:val="00A97873"/>
    <w:rsid w:val="00AA0109"/>
    <w:rsid w:val="00AB7A4C"/>
    <w:rsid w:val="00AC7077"/>
    <w:rsid w:val="00AD250B"/>
    <w:rsid w:val="00AE28A8"/>
    <w:rsid w:val="00AE28BC"/>
    <w:rsid w:val="00AE3812"/>
    <w:rsid w:val="00AE63A5"/>
    <w:rsid w:val="00AF73A7"/>
    <w:rsid w:val="00B025B2"/>
    <w:rsid w:val="00B17A3C"/>
    <w:rsid w:val="00B253D8"/>
    <w:rsid w:val="00B36DAE"/>
    <w:rsid w:val="00B43381"/>
    <w:rsid w:val="00B45032"/>
    <w:rsid w:val="00B53EFA"/>
    <w:rsid w:val="00B64435"/>
    <w:rsid w:val="00B652D7"/>
    <w:rsid w:val="00B72BDB"/>
    <w:rsid w:val="00B74EFD"/>
    <w:rsid w:val="00B7737B"/>
    <w:rsid w:val="00B801FB"/>
    <w:rsid w:val="00B8191F"/>
    <w:rsid w:val="00B82E0E"/>
    <w:rsid w:val="00B933AE"/>
    <w:rsid w:val="00B9425B"/>
    <w:rsid w:val="00BA2D78"/>
    <w:rsid w:val="00BA3187"/>
    <w:rsid w:val="00BA3E92"/>
    <w:rsid w:val="00BB5955"/>
    <w:rsid w:val="00BB6AD6"/>
    <w:rsid w:val="00BC5955"/>
    <w:rsid w:val="00BD06AB"/>
    <w:rsid w:val="00BD165F"/>
    <w:rsid w:val="00BD499F"/>
    <w:rsid w:val="00BD6B13"/>
    <w:rsid w:val="00BE216C"/>
    <w:rsid w:val="00BE392F"/>
    <w:rsid w:val="00BE5BC6"/>
    <w:rsid w:val="00BE6B31"/>
    <w:rsid w:val="00BE7FC3"/>
    <w:rsid w:val="00BF2FA6"/>
    <w:rsid w:val="00C002D2"/>
    <w:rsid w:val="00C0038C"/>
    <w:rsid w:val="00C03968"/>
    <w:rsid w:val="00C03EAA"/>
    <w:rsid w:val="00C0550D"/>
    <w:rsid w:val="00C1303C"/>
    <w:rsid w:val="00C148C8"/>
    <w:rsid w:val="00C1665C"/>
    <w:rsid w:val="00C31BE6"/>
    <w:rsid w:val="00C3612C"/>
    <w:rsid w:val="00C4176F"/>
    <w:rsid w:val="00C4509A"/>
    <w:rsid w:val="00C519DF"/>
    <w:rsid w:val="00C63438"/>
    <w:rsid w:val="00C733F7"/>
    <w:rsid w:val="00C86F6E"/>
    <w:rsid w:val="00C87195"/>
    <w:rsid w:val="00C901D0"/>
    <w:rsid w:val="00C93132"/>
    <w:rsid w:val="00CC5C67"/>
    <w:rsid w:val="00CD05E9"/>
    <w:rsid w:val="00CD6EAC"/>
    <w:rsid w:val="00CD71E9"/>
    <w:rsid w:val="00CE5EF5"/>
    <w:rsid w:val="00CF347E"/>
    <w:rsid w:val="00D2465D"/>
    <w:rsid w:val="00D25D6A"/>
    <w:rsid w:val="00D27860"/>
    <w:rsid w:val="00D35A30"/>
    <w:rsid w:val="00D41252"/>
    <w:rsid w:val="00D4314D"/>
    <w:rsid w:val="00D520BB"/>
    <w:rsid w:val="00D55707"/>
    <w:rsid w:val="00D71288"/>
    <w:rsid w:val="00D72581"/>
    <w:rsid w:val="00D76DBB"/>
    <w:rsid w:val="00D774CA"/>
    <w:rsid w:val="00D803B9"/>
    <w:rsid w:val="00D84B33"/>
    <w:rsid w:val="00D86AC1"/>
    <w:rsid w:val="00D9393E"/>
    <w:rsid w:val="00DA0977"/>
    <w:rsid w:val="00DB0788"/>
    <w:rsid w:val="00DE7F3F"/>
    <w:rsid w:val="00E03561"/>
    <w:rsid w:val="00E112C5"/>
    <w:rsid w:val="00E12FA9"/>
    <w:rsid w:val="00E1613A"/>
    <w:rsid w:val="00E17F45"/>
    <w:rsid w:val="00E2723D"/>
    <w:rsid w:val="00E27807"/>
    <w:rsid w:val="00E37C9E"/>
    <w:rsid w:val="00E42820"/>
    <w:rsid w:val="00E465A1"/>
    <w:rsid w:val="00E61F2F"/>
    <w:rsid w:val="00E65034"/>
    <w:rsid w:val="00E70478"/>
    <w:rsid w:val="00E7328E"/>
    <w:rsid w:val="00E74908"/>
    <w:rsid w:val="00E83510"/>
    <w:rsid w:val="00E84D27"/>
    <w:rsid w:val="00E90F1B"/>
    <w:rsid w:val="00E973CE"/>
    <w:rsid w:val="00EA5763"/>
    <w:rsid w:val="00EA5C8D"/>
    <w:rsid w:val="00EB04F5"/>
    <w:rsid w:val="00EB0A3A"/>
    <w:rsid w:val="00EC342B"/>
    <w:rsid w:val="00EE133C"/>
    <w:rsid w:val="00F06514"/>
    <w:rsid w:val="00F06542"/>
    <w:rsid w:val="00F0682D"/>
    <w:rsid w:val="00F150E4"/>
    <w:rsid w:val="00F418D9"/>
    <w:rsid w:val="00F41FC6"/>
    <w:rsid w:val="00F551D5"/>
    <w:rsid w:val="00F56052"/>
    <w:rsid w:val="00F6749B"/>
    <w:rsid w:val="00F7052B"/>
    <w:rsid w:val="00F70759"/>
    <w:rsid w:val="00F76148"/>
    <w:rsid w:val="00F849A7"/>
    <w:rsid w:val="00F86A13"/>
    <w:rsid w:val="00F9020D"/>
    <w:rsid w:val="00F92B62"/>
    <w:rsid w:val="00F94AE5"/>
    <w:rsid w:val="00FA233D"/>
    <w:rsid w:val="00FA7DB6"/>
    <w:rsid w:val="00FB7D28"/>
    <w:rsid w:val="00FC1CE6"/>
    <w:rsid w:val="00FC7E73"/>
    <w:rsid w:val="00FD123E"/>
    <w:rsid w:val="00FD2A23"/>
    <w:rsid w:val="00FD67A8"/>
    <w:rsid w:val="00FD79C4"/>
    <w:rsid w:val="00FE12CE"/>
    <w:rsid w:val="00FE70DB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92"/>
  </w:style>
  <w:style w:type="paragraph" w:styleId="Footer">
    <w:name w:val="footer"/>
    <w:basedOn w:val="Normal"/>
    <w:link w:val="FooterChar"/>
    <w:uiPriority w:val="99"/>
    <w:unhideWhenUsed/>
    <w:rsid w:val="00BA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92"/>
  </w:style>
  <w:style w:type="paragraph" w:styleId="ListParagraph">
    <w:name w:val="List Paragraph"/>
    <w:basedOn w:val="Normal"/>
    <w:uiPriority w:val="34"/>
    <w:qFormat/>
    <w:rsid w:val="00BA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92"/>
  </w:style>
  <w:style w:type="paragraph" w:styleId="Footer">
    <w:name w:val="footer"/>
    <w:basedOn w:val="Normal"/>
    <w:link w:val="FooterChar"/>
    <w:uiPriority w:val="99"/>
    <w:unhideWhenUsed/>
    <w:rsid w:val="00BA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92"/>
  </w:style>
  <w:style w:type="paragraph" w:styleId="ListParagraph">
    <w:name w:val="List Paragraph"/>
    <w:basedOn w:val="Normal"/>
    <w:uiPriority w:val="34"/>
    <w:qFormat/>
    <w:rsid w:val="00BA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Opsal, Scott D</dc:creator>
  <cp:lastModifiedBy>Yasmin Alsalman</cp:lastModifiedBy>
  <cp:revision>2</cp:revision>
  <cp:lastPrinted>2013-11-21T18:47:00Z</cp:lastPrinted>
  <dcterms:created xsi:type="dcterms:W3CDTF">2015-10-18T16:26:00Z</dcterms:created>
  <dcterms:modified xsi:type="dcterms:W3CDTF">2015-10-18T16:26:00Z</dcterms:modified>
</cp:coreProperties>
</file>