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17" w:rsidRPr="002544B6" w:rsidRDefault="002544B6">
      <w:pPr>
        <w:rPr>
          <w:b/>
          <w:u w:val="single"/>
          <w:lang w:val="fr-FR"/>
        </w:rPr>
      </w:pPr>
      <w:r w:rsidRPr="002544B6">
        <w:rPr>
          <w:b/>
          <w:u w:val="single"/>
          <w:lang w:val="fr-FR"/>
        </w:rPr>
        <w:t>RELEVANT CLAUSES  (</w:t>
      </w:r>
      <w:proofErr w:type="spellStart"/>
      <w:r w:rsidRPr="002544B6">
        <w:rPr>
          <w:b/>
          <w:u w:val="single"/>
          <w:lang w:val="fr-FR"/>
        </w:rPr>
        <w:t>Lessee's</w:t>
      </w:r>
      <w:proofErr w:type="spellEnd"/>
      <w:r w:rsidRPr="002544B6">
        <w:rPr>
          <w:b/>
          <w:u w:val="single"/>
          <w:lang w:val="fr-FR"/>
        </w:rPr>
        <w:t xml:space="preserve"> Covenants)</w:t>
      </w:r>
    </w:p>
    <w:p w:rsidR="002544B6" w:rsidRPr="002544B6" w:rsidRDefault="002544B6">
      <w:pPr>
        <w:rPr>
          <w:b/>
          <w:u w:val="single"/>
          <w:lang w:val="fr-FR"/>
        </w:rPr>
      </w:pPr>
    </w:p>
    <w:p w:rsidR="002544B6" w:rsidRPr="002544B6" w:rsidRDefault="002544B6">
      <w:pPr>
        <w:rPr>
          <w:b/>
          <w:u w:val="single"/>
          <w:lang w:val="fr-FR"/>
        </w:rPr>
      </w:pPr>
    </w:p>
    <w:p w:rsidR="002544B6" w:rsidRPr="002544B6" w:rsidRDefault="002544B6">
      <w:pPr>
        <w:rPr>
          <w:u w:val="single"/>
          <w:lang w:val="fr-FR"/>
        </w:rPr>
      </w:pPr>
      <w:r w:rsidRPr="002544B6">
        <w:rPr>
          <w:u w:val="single"/>
          <w:lang w:val="fr-FR"/>
        </w:rPr>
        <w:t>Clause 2</w:t>
      </w:r>
      <w:r w:rsidR="003C7424">
        <w:rPr>
          <w:u w:val="single"/>
          <w:lang w:val="fr-FR"/>
        </w:rPr>
        <w:t xml:space="preserve"> (i</w:t>
      </w:r>
      <w:r w:rsidRPr="002544B6">
        <w:rPr>
          <w:u w:val="single"/>
          <w:lang w:val="fr-FR"/>
        </w:rPr>
        <w:t>)</w:t>
      </w:r>
    </w:p>
    <w:p w:rsidR="002544B6" w:rsidRPr="002544B6" w:rsidRDefault="002544B6">
      <w:pPr>
        <w:rPr>
          <w:u w:val="single"/>
          <w:lang w:val="fr-FR"/>
        </w:rPr>
      </w:pPr>
    </w:p>
    <w:p w:rsidR="002544B6" w:rsidRDefault="002544B6">
      <w:pPr>
        <w:rPr>
          <w:u w:val="single"/>
        </w:rPr>
      </w:pPr>
      <w:r>
        <w:rPr>
          <w:noProof/>
          <w:u w:val="single"/>
          <w:lang w:eastAsia="en-GB"/>
        </w:rPr>
        <w:drawing>
          <wp:inline distT="0" distB="0" distL="0" distR="0">
            <wp:extent cx="5731510" cy="9811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981185"/>
                    </a:xfrm>
                    <a:prstGeom prst="rect">
                      <a:avLst/>
                    </a:prstGeom>
                    <a:noFill/>
                    <a:ln w="9525">
                      <a:noFill/>
                      <a:miter lim="800000"/>
                      <a:headEnd/>
                      <a:tailEnd/>
                    </a:ln>
                  </pic:spPr>
                </pic:pic>
              </a:graphicData>
            </a:graphic>
          </wp:inline>
        </w:drawing>
      </w:r>
    </w:p>
    <w:p w:rsidR="003C7424" w:rsidRDefault="003C7424">
      <w:pPr>
        <w:rPr>
          <w:u w:val="single"/>
        </w:rPr>
      </w:pPr>
    </w:p>
    <w:p w:rsidR="003C7424" w:rsidRDefault="003C7424">
      <w:pPr>
        <w:rPr>
          <w:u w:val="single"/>
        </w:rPr>
      </w:pPr>
      <w:r>
        <w:rPr>
          <w:noProof/>
          <w:u w:val="single"/>
          <w:lang w:eastAsia="en-GB"/>
        </w:rPr>
        <w:drawing>
          <wp:inline distT="0" distB="0" distL="0" distR="0">
            <wp:extent cx="5731510" cy="1721619"/>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1721619"/>
                    </a:xfrm>
                    <a:prstGeom prst="rect">
                      <a:avLst/>
                    </a:prstGeom>
                    <a:noFill/>
                    <a:ln w="9525">
                      <a:noFill/>
                      <a:miter lim="800000"/>
                      <a:headEnd/>
                      <a:tailEnd/>
                    </a:ln>
                  </pic:spPr>
                </pic:pic>
              </a:graphicData>
            </a:graphic>
          </wp:inline>
        </w:drawing>
      </w:r>
    </w:p>
    <w:p w:rsidR="008C0AF9" w:rsidRDefault="008C0AF9">
      <w:pPr>
        <w:rPr>
          <w:u w:val="single"/>
        </w:rPr>
      </w:pPr>
    </w:p>
    <w:p w:rsidR="008C0AF9" w:rsidRDefault="008C0AF9">
      <w:pPr>
        <w:rPr>
          <w:u w:val="single"/>
        </w:rPr>
      </w:pPr>
      <w:r>
        <w:rPr>
          <w:noProof/>
          <w:u w:val="single"/>
          <w:lang w:eastAsia="en-GB"/>
        </w:rPr>
        <w:drawing>
          <wp:inline distT="0" distB="0" distL="0" distR="0">
            <wp:extent cx="5731510" cy="1247959"/>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1247959"/>
                    </a:xfrm>
                    <a:prstGeom prst="rect">
                      <a:avLst/>
                    </a:prstGeom>
                    <a:noFill/>
                    <a:ln w="9525">
                      <a:noFill/>
                      <a:miter lim="800000"/>
                      <a:headEnd/>
                      <a:tailEnd/>
                    </a:ln>
                  </pic:spPr>
                </pic:pic>
              </a:graphicData>
            </a:graphic>
          </wp:inline>
        </w:drawing>
      </w:r>
    </w:p>
    <w:p w:rsidR="008C0AF9" w:rsidRDefault="008C0AF9">
      <w:pPr>
        <w:rPr>
          <w:u w:val="single"/>
        </w:rPr>
      </w:pPr>
    </w:p>
    <w:p w:rsidR="008C0AF9" w:rsidRDefault="008C0AF9">
      <w:pPr>
        <w:rPr>
          <w:b/>
        </w:rPr>
      </w:pPr>
      <w:r>
        <w:rPr>
          <w:b/>
        </w:rPr>
        <w:t>ANALYSIS</w:t>
      </w:r>
    </w:p>
    <w:p w:rsidR="008C0AF9" w:rsidRDefault="008C0AF9">
      <w:pPr>
        <w:rPr>
          <w:b/>
        </w:rPr>
      </w:pPr>
    </w:p>
    <w:p w:rsidR="008C0AF9" w:rsidRDefault="008C0AF9">
      <w:pPr>
        <w:rPr>
          <w:b/>
        </w:rPr>
      </w:pPr>
      <w:r>
        <w:rPr>
          <w:b/>
        </w:rPr>
        <w:t>1. The first clause above stipulates that the property may not be sublet during the last seven years of the term. This is clear and not in question. It would imply, however, that the property can be sublet in the period before then</w:t>
      </w:r>
    </w:p>
    <w:p w:rsidR="008C0AF9" w:rsidRDefault="008C0AF9">
      <w:pPr>
        <w:rPr>
          <w:b/>
        </w:rPr>
      </w:pPr>
    </w:p>
    <w:p w:rsidR="008C0AF9" w:rsidRDefault="008C0AF9">
      <w:pPr>
        <w:rPr>
          <w:b/>
        </w:rPr>
      </w:pPr>
      <w:r>
        <w:rPr>
          <w:b/>
        </w:rPr>
        <w:t xml:space="preserve">2. The second clause requires that any sublease of more than seven years must be notified to the </w:t>
      </w:r>
      <w:proofErr w:type="spellStart"/>
      <w:r>
        <w:rPr>
          <w:b/>
        </w:rPr>
        <w:t>Lessor's</w:t>
      </w:r>
      <w:proofErr w:type="spellEnd"/>
      <w:r>
        <w:rPr>
          <w:b/>
        </w:rPr>
        <w:t xml:space="preserve"> solicitors within 21 days for registration with a fee payable for registration. It does</w:t>
      </w:r>
      <w:r w:rsidR="00DC2979">
        <w:rPr>
          <w:b/>
        </w:rPr>
        <w:t xml:space="preserve"> not</w:t>
      </w:r>
      <w:r>
        <w:rPr>
          <w:b/>
        </w:rPr>
        <w:t xml:space="preserve">  say that permission is required from the </w:t>
      </w:r>
      <w:proofErr w:type="spellStart"/>
      <w:r>
        <w:rPr>
          <w:b/>
        </w:rPr>
        <w:t>Lessor</w:t>
      </w:r>
      <w:proofErr w:type="spellEnd"/>
      <w:r>
        <w:rPr>
          <w:b/>
        </w:rPr>
        <w:t xml:space="preserve">, but only that the sublease must be registered. Again, by implication, it can be assumed that subleases of less the seven years do not require to be notified to the </w:t>
      </w:r>
      <w:proofErr w:type="spellStart"/>
      <w:r>
        <w:rPr>
          <w:b/>
        </w:rPr>
        <w:t>Lessor</w:t>
      </w:r>
      <w:proofErr w:type="spellEnd"/>
      <w:r>
        <w:rPr>
          <w:b/>
        </w:rPr>
        <w:t>, except in the case of Clause 1 (last 7 years of the term)</w:t>
      </w:r>
    </w:p>
    <w:p w:rsidR="008C0AF9" w:rsidRDefault="008C0AF9">
      <w:pPr>
        <w:rPr>
          <w:b/>
        </w:rPr>
      </w:pPr>
    </w:p>
    <w:p w:rsidR="008C0AF9" w:rsidRDefault="008C0AF9">
      <w:pPr>
        <w:rPr>
          <w:b/>
        </w:rPr>
      </w:pPr>
      <w:r>
        <w:rPr>
          <w:b/>
        </w:rPr>
        <w:t xml:space="preserve">3. The third clause above states that the premises may only be used as a single family </w:t>
      </w:r>
      <w:proofErr w:type="spellStart"/>
      <w:r>
        <w:rPr>
          <w:b/>
        </w:rPr>
        <w:t>dwellinghouse</w:t>
      </w:r>
      <w:proofErr w:type="spellEnd"/>
      <w:r>
        <w:rPr>
          <w:b/>
        </w:rPr>
        <w:t xml:space="preserve"> by the Lessee only. This is the clause that is causing the problem as I believe the </w:t>
      </w:r>
      <w:r w:rsidR="00150D0F">
        <w:rPr>
          <w:b/>
        </w:rPr>
        <w:t>purpose</w:t>
      </w:r>
      <w:r>
        <w:rPr>
          <w:b/>
        </w:rPr>
        <w:t xml:space="preserve"> of this clause is </w:t>
      </w:r>
      <w:r w:rsidR="00150D0F">
        <w:rPr>
          <w:b/>
        </w:rPr>
        <w:t xml:space="preserve">simply </w:t>
      </w:r>
      <w:r>
        <w:rPr>
          <w:b/>
        </w:rPr>
        <w:t>to regulate the use of the premises and would apply to any occupant of the house, including an under-lessee. The correct wording would have been to replace the word Lessee with "Occupant"</w:t>
      </w:r>
      <w:r w:rsidR="00B90DB8">
        <w:rPr>
          <w:b/>
        </w:rPr>
        <w:t xml:space="preserve"> or add the word "or </w:t>
      </w:r>
      <w:proofErr w:type="spellStart"/>
      <w:r w:rsidR="00B90DB8">
        <w:rPr>
          <w:b/>
        </w:rPr>
        <w:t>underlessee</w:t>
      </w:r>
      <w:proofErr w:type="spellEnd"/>
      <w:r w:rsidR="00B90DB8">
        <w:rPr>
          <w:b/>
        </w:rPr>
        <w:t>" after "Lessee"</w:t>
      </w:r>
    </w:p>
    <w:sectPr w:rsidR="008C0AF9" w:rsidSect="008E47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2544B6"/>
    <w:rsid w:val="00150D0F"/>
    <w:rsid w:val="00161261"/>
    <w:rsid w:val="00193A81"/>
    <w:rsid w:val="002544B6"/>
    <w:rsid w:val="003C7424"/>
    <w:rsid w:val="003F45B2"/>
    <w:rsid w:val="004D0279"/>
    <w:rsid w:val="005774A1"/>
    <w:rsid w:val="005D037C"/>
    <w:rsid w:val="00786B4D"/>
    <w:rsid w:val="007B06DF"/>
    <w:rsid w:val="008C0AF9"/>
    <w:rsid w:val="008E4717"/>
    <w:rsid w:val="00995CDA"/>
    <w:rsid w:val="00A237DC"/>
    <w:rsid w:val="00B1523A"/>
    <w:rsid w:val="00B90DB8"/>
    <w:rsid w:val="00DC2979"/>
    <w:rsid w:val="00DD2FCE"/>
    <w:rsid w:val="00EC36FC"/>
    <w:rsid w:val="00ED7003"/>
    <w:rsid w:val="00F07F19"/>
    <w:rsid w:val="00F322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iC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1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07F19"/>
    <w:rPr>
      <w:b/>
      <w:bCs/>
    </w:rPr>
  </w:style>
  <w:style w:type="character" w:styleId="Emphasis">
    <w:name w:val="Emphasis"/>
    <w:basedOn w:val="DefaultParagraphFont"/>
    <w:qFormat/>
    <w:rsid w:val="00F07F19"/>
    <w:rPr>
      <w:i/>
      <w:iCs/>
    </w:rPr>
  </w:style>
  <w:style w:type="paragraph" w:styleId="BalloonText">
    <w:name w:val="Balloon Text"/>
    <w:basedOn w:val="Normal"/>
    <w:link w:val="BalloonTextChar"/>
    <w:uiPriority w:val="99"/>
    <w:semiHidden/>
    <w:unhideWhenUsed/>
    <w:rsid w:val="002544B6"/>
    <w:rPr>
      <w:rFonts w:ascii="Tahoma" w:hAnsi="Tahoma" w:cs="Tahoma"/>
      <w:sz w:val="16"/>
      <w:szCs w:val="16"/>
    </w:rPr>
  </w:style>
  <w:style w:type="character" w:customStyle="1" w:styleId="BalloonTextChar">
    <w:name w:val="Balloon Text Char"/>
    <w:basedOn w:val="DefaultParagraphFont"/>
    <w:link w:val="BalloonText"/>
    <w:uiPriority w:val="99"/>
    <w:semiHidden/>
    <w:rsid w:val="002544B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Hussein</cp:lastModifiedBy>
  <cp:revision>2</cp:revision>
  <dcterms:created xsi:type="dcterms:W3CDTF">2015-01-21T08:07:00Z</dcterms:created>
  <dcterms:modified xsi:type="dcterms:W3CDTF">2015-01-21T08:07:00Z</dcterms:modified>
</cp:coreProperties>
</file>