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C9" w:rsidRPr="002D1A23" w:rsidRDefault="004405C9">
      <w:pPr>
        <w:rPr>
          <w:rFonts w:ascii="Verdana" w:hAnsi="Verdana" w:cs="Helvetica"/>
          <w:color w:val="000000"/>
          <w:sz w:val="20"/>
          <w:szCs w:val="20"/>
          <w:shd w:val="clear" w:color="auto" w:fill="EEEEEE"/>
        </w:rPr>
      </w:pPr>
      <w:bookmarkStart w:id="0" w:name="_GoBack"/>
      <w:r w:rsidRPr="002D1A23">
        <w:rPr>
          <w:rFonts w:ascii="Verdana" w:hAnsi="Verdana" w:cs="Helvetica"/>
          <w:color w:val="000000"/>
          <w:sz w:val="20"/>
          <w:szCs w:val="20"/>
          <w:shd w:val="clear" w:color="auto" w:fill="EEEEEE"/>
        </w:rPr>
        <w:t xml:space="preserve">Customer: Barney Corporation adds materials at the beginning of the process in Department AX. The conversion costs were 75% complete as to the 21,280 units in WIP on April 30 and 45% complete as to the 14,400 units in WIP on May 31. During May, 55,980 units were completed and transferred to the next department. An analysis of the costs relating to WIP at May 1 and to production activity for May is as follows: </w:t>
      </w:r>
    </w:p>
    <w:p w:rsidR="004405C9" w:rsidRPr="002D1A23" w:rsidRDefault="004405C9" w:rsidP="004405C9">
      <w:pPr>
        <w:ind w:left="720" w:firstLine="720"/>
        <w:rPr>
          <w:rFonts w:ascii="Verdana" w:hAnsi="Verdana" w:cs="Helvetica"/>
          <w:color w:val="000000"/>
          <w:sz w:val="20"/>
          <w:szCs w:val="20"/>
          <w:shd w:val="clear" w:color="auto" w:fill="EEEEEE"/>
        </w:rPr>
      </w:pPr>
      <w:r w:rsidRPr="002D1A23">
        <w:rPr>
          <w:rFonts w:ascii="Verdana" w:hAnsi="Verdana" w:cs="Helvetica"/>
          <w:color w:val="000000"/>
          <w:sz w:val="20"/>
          <w:szCs w:val="20"/>
          <w:shd w:val="clear" w:color="auto" w:fill="EEEEEE"/>
        </w:rPr>
        <w:t xml:space="preserve">Direct Materials </w:t>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Conversion</w:t>
      </w:r>
    </w:p>
    <w:p w:rsidR="004405C9" w:rsidRPr="002D1A23" w:rsidRDefault="004405C9">
      <w:pPr>
        <w:rPr>
          <w:rFonts w:ascii="Verdana" w:hAnsi="Verdana" w:cs="Helvetica"/>
          <w:color w:val="000000"/>
          <w:sz w:val="20"/>
          <w:szCs w:val="20"/>
          <w:shd w:val="clear" w:color="auto" w:fill="EEEEEE"/>
        </w:rPr>
      </w:pPr>
      <w:r w:rsidRPr="002D1A23">
        <w:rPr>
          <w:rFonts w:ascii="Verdana" w:hAnsi="Verdana" w:cs="Helvetica"/>
          <w:color w:val="000000"/>
          <w:sz w:val="20"/>
          <w:szCs w:val="20"/>
          <w:shd w:val="clear" w:color="auto" w:fill="EEEEEE"/>
        </w:rPr>
        <w:t>WIP, May 1</w:t>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 xml:space="preserve"> $18,908 </w:t>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$11,172</w:t>
      </w:r>
    </w:p>
    <w:p w:rsidR="004D2030" w:rsidRPr="002D1A23" w:rsidRDefault="004405C9">
      <w:pPr>
        <w:rPr>
          <w:rStyle w:val="apple-converted-space"/>
          <w:rFonts w:ascii="Verdana" w:hAnsi="Verdana" w:cs="Helvetica"/>
          <w:color w:val="000000"/>
          <w:sz w:val="20"/>
          <w:szCs w:val="20"/>
          <w:shd w:val="clear" w:color="auto" w:fill="EEEEEE"/>
        </w:rPr>
      </w:pPr>
      <w:r w:rsidRPr="002D1A23">
        <w:rPr>
          <w:rFonts w:ascii="Verdana" w:hAnsi="Verdana" w:cs="Helvetica"/>
          <w:color w:val="000000"/>
          <w:sz w:val="20"/>
          <w:szCs w:val="20"/>
          <w:shd w:val="clear" w:color="auto" w:fill="EEEEEE"/>
        </w:rPr>
        <w:t xml:space="preserve">Costs added in May </w:t>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 xml:space="preserve">$76,105 </w:t>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ab/>
      </w:r>
      <w:r w:rsidRPr="002D1A23">
        <w:rPr>
          <w:rFonts w:ascii="Verdana" w:hAnsi="Verdana" w:cs="Helvetica"/>
          <w:color w:val="000000"/>
          <w:sz w:val="20"/>
          <w:szCs w:val="20"/>
          <w:shd w:val="clear" w:color="auto" w:fill="EEEEEE"/>
        </w:rPr>
        <w:t>$32,550</w:t>
      </w:r>
      <w:r w:rsidRPr="002D1A23">
        <w:rPr>
          <w:rStyle w:val="apple-converted-space"/>
          <w:rFonts w:ascii="Verdana" w:hAnsi="Verdana" w:cs="Helvetica"/>
          <w:color w:val="000000"/>
          <w:sz w:val="20"/>
          <w:szCs w:val="20"/>
          <w:shd w:val="clear" w:color="auto" w:fill="EEEEEE"/>
        </w:rPr>
        <w:t> </w:t>
      </w:r>
    </w:p>
    <w:p w:rsidR="004405C9" w:rsidRPr="002D1A23" w:rsidRDefault="004405C9" w:rsidP="004405C9">
      <w:pPr>
        <w:keepNext/>
        <w:keepLines/>
        <w:widowControl w:val="0"/>
        <w:tabs>
          <w:tab w:val="right" w:pos="630"/>
        </w:tabs>
        <w:autoSpaceDE w:val="0"/>
        <w:autoSpaceDN w:val="0"/>
        <w:adjustRightInd w:val="0"/>
        <w:ind w:left="720" w:hanging="720"/>
        <w:rPr>
          <w:rFonts w:ascii="Verdana" w:hAnsi="Verdana"/>
          <w:bCs/>
          <w:sz w:val="20"/>
          <w:szCs w:val="20"/>
        </w:rPr>
      </w:pPr>
      <w:r w:rsidRPr="002D1A23">
        <w:rPr>
          <w:rFonts w:ascii="Verdana" w:hAnsi="Verdana"/>
          <w:sz w:val="20"/>
          <w:szCs w:val="20"/>
        </w:rPr>
        <w:tab/>
      </w:r>
      <w:r w:rsidRPr="002D1A23">
        <w:rPr>
          <w:rFonts w:ascii="Verdana" w:hAnsi="Verdana"/>
          <w:sz w:val="20"/>
          <w:szCs w:val="20"/>
        </w:rPr>
        <w:tab/>
      </w:r>
      <w:r w:rsidRPr="002D1A23">
        <w:rPr>
          <w:rFonts w:ascii="Verdana" w:hAnsi="Verdana"/>
          <w:bCs/>
          <w:sz w:val="20"/>
          <w:szCs w:val="20"/>
        </w:rPr>
        <w:t>Solution:</w:t>
      </w:r>
    </w:p>
    <w:p w:rsidR="004405C9" w:rsidRPr="002D1A23" w:rsidRDefault="004405C9" w:rsidP="004405C9">
      <w:pPr>
        <w:keepNext/>
        <w:keepLines/>
        <w:widowControl w:val="0"/>
        <w:tabs>
          <w:tab w:val="right" w:pos="630"/>
        </w:tabs>
        <w:autoSpaceDE w:val="0"/>
        <w:autoSpaceDN w:val="0"/>
        <w:adjustRightInd w:val="0"/>
        <w:ind w:left="720" w:hanging="720"/>
        <w:rPr>
          <w:rFonts w:ascii="Verdana" w:hAnsi="Verdana"/>
          <w:bCs/>
          <w:sz w:val="20"/>
          <w:szCs w:val="20"/>
        </w:rPr>
      </w:pPr>
    </w:p>
    <w:tbl>
      <w:tblPr>
        <w:tblW w:w="7845" w:type="dxa"/>
        <w:tblInd w:w="720" w:type="dxa"/>
        <w:tblLayout w:type="fixed"/>
        <w:tblCellMar>
          <w:left w:w="0" w:type="dxa"/>
          <w:right w:w="0" w:type="dxa"/>
        </w:tblCellMar>
        <w:tblLook w:val="04A0" w:firstRow="1" w:lastRow="0" w:firstColumn="1" w:lastColumn="0" w:noHBand="0" w:noVBand="1"/>
      </w:tblPr>
      <w:tblGrid>
        <w:gridCol w:w="200"/>
        <w:gridCol w:w="4587"/>
        <w:gridCol w:w="1079"/>
        <w:gridCol w:w="1169"/>
        <w:gridCol w:w="810"/>
      </w:tblGrid>
      <w:tr w:rsidR="004405C9" w:rsidRPr="002D1A23" w:rsidTr="004405C9">
        <w:trPr>
          <w:trHeight w:val="255"/>
        </w:trPr>
        <w:tc>
          <w:tcPr>
            <w:tcW w:w="200" w:type="dxa"/>
          </w:tcPr>
          <w:p w:rsidR="004405C9" w:rsidRPr="002D1A23" w:rsidRDefault="004405C9">
            <w:pPr>
              <w:rPr>
                <w:rFonts w:ascii="Verdana" w:hAnsi="Verdana"/>
                <w:i/>
                <w:iCs/>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i/>
                <w:iCs/>
                <w:sz w:val="20"/>
                <w:szCs w:val="20"/>
              </w:rPr>
            </w:pPr>
            <w:r w:rsidRPr="002D1A23">
              <w:rPr>
                <w:rFonts w:ascii="Verdana" w:hAnsi="Verdana"/>
                <w:i/>
                <w:iCs/>
                <w:sz w:val="20"/>
                <w:szCs w:val="20"/>
              </w:rPr>
              <w:t>Equivalent units of production</w:t>
            </w:r>
          </w:p>
        </w:tc>
        <w:tc>
          <w:tcPr>
            <w:tcW w:w="108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c>
          <w:tcPr>
            <w:tcW w:w="117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tcPr>
          <w:p w:rsidR="004405C9" w:rsidRPr="002D1A23" w:rsidRDefault="004405C9">
            <w:pPr>
              <w:tabs>
                <w:tab w:val="right" w:leader="dot" w:pos="4550"/>
              </w:tabs>
              <w:ind w:left="216" w:hanging="216"/>
              <w:rPr>
                <w:rFonts w:ascii="Verdana" w:hAnsi="Verdana"/>
                <w:sz w:val="20"/>
                <w:szCs w:val="20"/>
              </w:rPr>
            </w:pPr>
          </w:p>
        </w:tc>
        <w:tc>
          <w:tcPr>
            <w:tcW w:w="1080" w:type="dxa"/>
            <w:noWrap/>
            <w:tcMar>
              <w:top w:w="20" w:type="dxa"/>
              <w:left w:w="20" w:type="dxa"/>
              <w:bottom w:w="0" w:type="dxa"/>
              <w:right w:w="20" w:type="dxa"/>
            </w:tcMar>
            <w:vAlign w:val="bottom"/>
            <w:hideMark/>
          </w:tcPr>
          <w:p w:rsidR="004405C9" w:rsidRPr="002D1A23" w:rsidRDefault="004405C9">
            <w:pPr>
              <w:jc w:val="center"/>
              <w:rPr>
                <w:rFonts w:ascii="Verdana" w:hAnsi="Verdana"/>
                <w:i/>
                <w:iCs/>
                <w:sz w:val="20"/>
                <w:szCs w:val="20"/>
              </w:rPr>
            </w:pPr>
            <w:r w:rsidRPr="002D1A23">
              <w:rPr>
                <w:rFonts w:ascii="Verdana" w:hAnsi="Verdana"/>
                <w:i/>
                <w:iCs/>
                <w:sz w:val="20"/>
                <w:szCs w:val="20"/>
              </w:rPr>
              <w:t>Materials</w:t>
            </w:r>
          </w:p>
        </w:tc>
        <w:tc>
          <w:tcPr>
            <w:tcW w:w="1170" w:type="dxa"/>
            <w:noWrap/>
            <w:tcMar>
              <w:top w:w="20" w:type="dxa"/>
              <w:left w:w="20" w:type="dxa"/>
              <w:bottom w:w="0" w:type="dxa"/>
              <w:right w:w="20" w:type="dxa"/>
            </w:tcMar>
            <w:vAlign w:val="bottom"/>
            <w:hideMark/>
          </w:tcPr>
          <w:p w:rsidR="004405C9" w:rsidRPr="002D1A23" w:rsidRDefault="004405C9">
            <w:pPr>
              <w:jc w:val="center"/>
              <w:rPr>
                <w:rFonts w:ascii="Verdana" w:hAnsi="Verdana"/>
                <w:i/>
                <w:iCs/>
                <w:sz w:val="20"/>
                <w:szCs w:val="20"/>
              </w:rPr>
            </w:pPr>
            <w:r w:rsidRPr="002D1A23">
              <w:rPr>
                <w:rFonts w:ascii="Verdana" w:hAnsi="Verdana"/>
                <w:i/>
                <w:iCs/>
                <w:sz w:val="20"/>
                <w:szCs w:val="20"/>
              </w:rPr>
              <w:t>Conversion</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sz w:val="20"/>
                <w:szCs w:val="20"/>
              </w:rPr>
            </w:pPr>
            <w:r w:rsidRPr="002D1A23">
              <w:rPr>
                <w:rFonts w:ascii="Verdana" w:hAnsi="Verdana"/>
                <w:sz w:val="20"/>
                <w:szCs w:val="20"/>
              </w:rPr>
              <w:t>Transferred to next department</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rPr>
            </w:pPr>
            <w:r w:rsidRPr="002D1A23">
              <w:rPr>
                <w:rFonts w:ascii="Verdana" w:hAnsi="Verdana"/>
                <w:sz w:val="20"/>
                <w:szCs w:val="20"/>
              </w:rPr>
              <w:t>55980</w:t>
            </w:r>
            <w:r w:rsidR="004405C9" w:rsidRPr="002D1A23">
              <w:rPr>
                <w:rFonts w:ascii="Verdana" w:hAnsi="Verdana"/>
                <w:sz w:val="20"/>
                <w:szCs w:val="20"/>
              </w:rPr>
              <w:t xml:space="preserve"> </w:t>
            </w:r>
          </w:p>
        </w:tc>
        <w:tc>
          <w:tcPr>
            <w:tcW w:w="117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rPr>
            </w:pPr>
            <w:r w:rsidRPr="002D1A23">
              <w:rPr>
                <w:rFonts w:ascii="Verdana" w:hAnsi="Verdana"/>
                <w:sz w:val="20"/>
                <w:szCs w:val="20"/>
              </w:rPr>
              <w:t>55980</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510"/>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rsidP="002D1A23">
            <w:pPr>
              <w:tabs>
                <w:tab w:val="right" w:leader="dot" w:pos="4550"/>
              </w:tabs>
              <w:ind w:left="216" w:hanging="216"/>
              <w:rPr>
                <w:rFonts w:ascii="Verdana" w:hAnsi="Verdana"/>
                <w:sz w:val="20"/>
                <w:szCs w:val="20"/>
              </w:rPr>
            </w:pPr>
            <w:r w:rsidRPr="002D1A23">
              <w:rPr>
                <w:rFonts w:ascii="Verdana" w:hAnsi="Verdana"/>
                <w:sz w:val="20"/>
                <w:szCs w:val="20"/>
              </w:rPr>
              <w:t xml:space="preserve">Ending work in process (materials: </w:t>
            </w:r>
            <w:r w:rsidR="002D1A23" w:rsidRPr="002D1A23">
              <w:rPr>
                <w:rFonts w:ascii="Verdana" w:hAnsi="Verdana"/>
                <w:sz w:val="20"/>
                <w:szCs w:val="20"/>
              </w:rPr>
              <w:t>1440</w:t>
            </w:r>
            <w:r w:rsidRPr="002D1A23">
              <w:rPr>
                <w:rFonts w:ascii="Verdana" w:hAnsi="Verdana"/>
                <w:sz w:val="20"/>
                <w:szCs w:val="20"/>
              </w:rPr>
              <w:t>0 units × 100% complete; conversion</w:t>
            </w:r>
            <w:r w:rsidR="002D1A23" w:rsidRPr="002D1A23">
              <w:rPr>
                <w:rFonts w:ascii="Verdana" w:hAnsi="Verdana"/>
                <w:sz w:val="20"/>
                <w:szCs w:val="20"/>
              </w:rPr>
              <w:t>: 14400 units × 45</w:t>
            </w:r>
            <w:r w:rsidRPr="002D1A23">
              <w:rPr>
                <w:rFonts w:ascii="Verdana" w:hAnsi="Verdana"/>
                <w:sz w:val="20"/>
                <w:szCs w:val="20"/>
              </w:rPr>
              <w:t>% complete)</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u w:val="single"/>
              </w:rPr>
            </w:pPr>
            <w:r w:rsidRPr="002D1A23">
              <w:rPr>
                <w:rFonts w:ascii="Verdana" w:hAnsi="Verdana"/>
                <w:sz w:val="20"/>
                <w:szCs w:val="20"/>
                <w:u w:val="single"/>
              </w:rPr>
              <w:t>14400</w:t>
            </w:r>
            <w:r w:rsidR="004405C9" w:rsidRPr="002D1A23">
              <w:rPr>
                <w:rFonts w:ascii="Verdana" w:hAnsi="Verdana"/>
                <w:sz w:val="20"/>
                <w:szCs w:val="20"/>
                <w:u w:val="single"/>
              </w:rPr>
              <w:t xml:space="preserve"> </w:t>
            </w:r>
          </w:p>
        </w:tc>
        <w:tc>
          <w:tcPr>
            <w:tcW w:w="117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u w:val="single"/>
              </w:rPr>
            </w:pPr>
            <w:r w:rsidRPr="002D1A23">
              <w:rPr>
                <w:rFonts w:ascii="Verdana" w:hAnsi="Verdana"/>
                <w:sz w:val="20"/>
                <w:szCs w:val="20"/>
                <w:u w:val="single"/>
              </w:rPr>
              <w:t>6480</w:t>
            </w:r>
            <w:r w:rsidR="004405C9" w:rsidRPr="002D1A23">
              <w:rPr>
                <w:rFonts w:ascii="Verdana" w:hAnsi="Verdana"/>
                <w:sz w:val="20"/>
                <w:szCs w:val="20"/>
                <w:u w:val="single"/>
              </w:rPr>
              <w:t xml:space="preserve"> </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sz w:val="20"/>
                <w:szCs w:val="20"/>
              </w:rPr>
            </w:pPr>
            <w:r w:rsidRPr="002D1A23">
              <w:rPr>
                <w:rFonts w:ascii="Verdana" w:hAnsi="Verdana"/>
                <w:sz w:val="20"/>
                <w:szCs w:val="20"/>
              </w:rPr>
              <w:t>Equivalent units of production</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u w:val="double"/>
              </w:rPr>
            </w:pPr>
            <w:r w:rsidRPr="002D1A23">
              <w:rPr>
                <w:rFonts w:ascii="Verdana" w:hAnsi="Verdana"/>
                <w:sz w:val="20"/>
                <w:szCs w:val="20"/>
                <w:u w:val="double"/>
              </w:rPr>
              <w:t>70380</w:t>
            </w:r>
            <w:r w:rsidR="004405C9" w:rsidRPr="002D1A23">
              <w:rPr>
                <w:rFonts w:ascii="Verdana" w:hAnsi="Verdana"/>
                <w:sz w:val="20"/>
                <w:szCs w:val="20"/>
                <w:u w:val="double"/>
              </w:rPr>
              <w:t xml:space="preserve"> </w:t>
            </w:r>
          </w:p>
        </w:tc>
        <w:tc>
          <w:tcPr>
            <w:tcW w:w="117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u w:val="double"/>
              </w:rPr>
            </w:pPr>
            <w:r w:rsidRPr="002D1A23">
              <w:rPr>
                <w:rFonts w:ascii="Verdana" w:hAnsi="Verdana"/>
                <w:sz w:val="20"/>
                <w:szCs w:val="20"/>
                <w:u w:val="double"/>
              </w:rPr>
              <w:t>62460</w:t>
            </w:r>
            <w:r w:rsidR="004405C9" w:rsidRPr="002D1A23">
              <w:rPr>
                <w:rFonts w:ascii="Verdana" w:hAnsi="Verdana"/>
                <w:sz w:val="20"/>
                <w:szCs w:val="20"/>
                <w:u w:val="double"/>
              </w:rPr>
              <w:t xml:space="preserve"> </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tcPr>
          <w:p w:rsidR="004405C9" w:rsidRPr="002D1A23" w:rsidRDefault="004405C9">
            <w:pPr>
              <w:tabs>
                <w:tab w:val="right" w:leader="dot" w:pos="4550"/>
              </w:tabs>
              <w:ind w:left="216" w:hanging="216"/>
              <w:rPr>
                <w:rFonts w:ascii="Verdana" w:hAnsi="Verdana"/>
                <w:sz w:val="20"/>
                <w:szCs w:val="20"/>
              </w:rPr>
            </w:pPr>
          </w:p>
        </w:tc>
        <w:tc>
          <w:tcPr>
            <w:tcW w:w="108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c>
          <w:tcPr>
            <w:tcW w:w="117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i/>
                <w:iCs/>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i/>
                <w:iCs/>
                <w:sz w:val="20"/>
                <w:szCs w:val="20"/>
              </w:rPr>
            </w:pPr>
            <w:r w:rsidRPr="002D1A23">
              <w:rPr>
                <w:rFonts w:ascii="Verdana" w:hAnsi="Verdana"/>
                <w:i/>
                <w:iCs/>
                <w:sz w:val="20"/>
                <w:szCs w:val="20"/>
              </w:rPr>
              <w:t>Cost per Equivalent Unit</w:t>
            </w:r>
          </w:p>
        </w:tc>
        <w:tc>
          <w:tcPr>
            <w:tcW w:w="1080" w:type="dxa"/>
            <w:noWrap/>
            <w:tcMar>
              <w:top w:w="20" w:type="dxa"/>
              <w:left w:w="20" w:type="dxa"/>
              <w:bottom w:w="0" w:type="dxa"/>
              <w:right w:w="20" w:type="dxa"/>
            </w:tcMar>
            <w:vAlign w:val="bottom"/>
          </w:tcPr>
          <w:p w:rsidR="004405C9" w:rsidRPr="002D1A23" w:rsidRDefault="004405C9">
            <w:pPr>
              <w:rPr>
                <w:rFonts w:ascii="Verdana" w:hAnsi="Verdana"/>
                <w:i/>
                <w:iCs/>
                <w:sz w:val="20"/>
                <w:szCs w:val="20"/>
              </w:rPr>
            </w:pPr>
          </w:p>
        </w:tc>
        <w:tc>
          <w:tcPr>
            <w:tcW w:w="1170" w:type="dxa"/>
            <w:noWrap/>
            <w:tcMar>
              <w:top w:w="20" w:type="dxa"/>
              <w:left w:w="20" w:type="dxa"/>
              <w:bottom w:w="0" w:type="dxa"/>
              <w:right w:w="20" w:type="dxa"/>
            </w:tcMar>
            <w:vAlign w:val="bottom"/>
          </w:tcPr>
          <w:p w:rsidR="004405C9" w:rsidRPr="002D1A23" w:rsidRDefault="004405C9">
            <w:pPr>
              <w:rPr>
                <w:rFonts w:ascii="Verdana" w:hAnsi="Verdana"/>
                <w:i/>
                <w:iCs/>
                <w:sz w:val="20"/>
                <w:szCs w:val="20"/>
              </w:rPr>
            </w:pPr>
          </w:p>
        </w:tc>
        <w:tc>
          <w:tcPr>
            <w:tcW w:w="810" w:type="dxa"/>
            <w:noWrap/>
            <w:tcMar>
              <w:top w:w="20" w:type="dxa"/>
              <w:left w:w="20" w:type="dxa"/>
              <w:bottom w:w="0" w:type="dxa"/>
              <w:right w:w="20" w:type="dxa"/>
            </w:tcMar>
            <w:vAlign w:val="bottom"/>
          </w:tcPr>
          <w:p w:rsidR="004405C9" w:rsidRPr="002D1A23" w:rsidRDefault="004405C9">
            <w:pPr>
              <w:rPr>
                <w:rFonts w:ascii="Verdana" w:hAnsi="Verdana"/>
                <w:i/>
                <w:iCs/>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tcPr>
          <w:p w:rsidR="004405C9" w:rsidRPr="002D1A23" w:rsidRDefault="004405C9">
            <w:pPr>
              <w:tabs>
                <w:tab w:val="right" w:leader="dot" w:pos="4550"/>
              </w:tabs>
              <w:ind w:left="216" w:hanging="216"/>
              <w:rPr>
                <w:rFonts w:ascii="Verdana" w:hAnsi="Verdana"/>
                <w:sz w:val="20"/>
                <w:szCs w:val="20"/>
              </w:rPr>
            </w:pPr>
          </w:p>
        </w:tc>
        <w:tc>
          <w:tcPr>
            <w:tcW w:w="1080" w:type="dxa"/>
            <w:noWrap/>
            <w:tcMar>
              <w:top w:w="20" w:type="dxa"/>
              <w:left w:w="20" w:type="dxa"/>
              <w:bottom w:w="0" w:type="dxa"/>
              <w:right w:w="20" w:type="dxa"/>
            </w:tcMar>
            <w:vAlign w:val="bottom"/>
            <w:hideMark/>
          </w:tcPr>
          <w:p w:rsidR="004405C9" w:rsidRPr="002D1A23" w:rsidRDefault="004405C9">
            <w:pPr>
              <w:jc w:val="center"/>
              <w:rPr>
                <w:rFonts w:ascii="Verdana" w:hAnsi="Verdana"/>
                <w:i/>
                <w:iCs/>
                <w:sz w:val="20"/>
                <w:szCs w:val="20"/>
              </w:rPr>
            </w:pPr>
            <w:r w:rsidRPr="002D1A23">
              <w:rPr>
                <w:rFonts w:ascii="Verdana" w:hAnsi="Verdana"/>
                <w:i/>
                <w:iCs/>
                <w:sz w:val="20"/>
                <w:szCs w:val="20"/>
              </w:rPr>
              <w:t>Materials</w:t>
            </w:r>
          </w:p>
        </w:tc>
        <w:tc>
          <w:tcPr>
            <w:tcW w:w="1170" w:type="dxa"/>
            <w:noWrap/>
            <w:tcMar>
              <w:top w:w="20" w:type="dxa"/>
              <w:left w:w="20" w:type="dxa"/>
              <w:bottom w:w="0" w:type="dxa"/>
              <w:right w:w="20" w:type="dxa"/>
            </w:tcMar>
            <w:vAlign w:val="bottom"/>
            <w:hideMark/>
          </w:tcPr>
          <w:p w:rsidR="004405C9" w:rsidRPr="002D1A23" w:rsidRDefault="004405C9">
            <w:pPr>
              <w:jc w:val="center"/>
              <w:rPr>
                <w:rFonts w:ascii="Verdana" w:hAnsi="Verdana"/>
                <w:i/>
                <w:iCs/>
                <w:sz w:val="20"/>
                <w:szCs w:val="20"/>
              </w:rPr>
            </w:pPr>
            <w:r w:rsidRPr="002D1A23">
              <w:rPr>
                <w:rFonts w:ascii="Verdana" w:hAnsi="Verdana"/>
                <w:i/>
                <w:iCs/>
                <w:sz w:val="20"/>
                <w:szCs w:val="20"/>
              </w:rPr>
              <w:t>Conversion</w:t>
            </w:r>
          </w:p>
        </w:tc>
        <w:tc>
          <w:tcPr>
            <w:tcW w:w="810" w:type="dxa"/>
            <w:noWrap/>
            <w:tcMar>
              <w:top w:w="20" w:type="dxa"/>
              <w:left w:w="20" w:type="dxa"/>
              <w:bottom w:w="0" w:type="dxa"/>
              <w:right w:w="20" w:type="dxa"/>
            </w:tcMar>
            <w:vAlign w:val="bottom"/>
            <w:hideMark/>
          </w:tcPr>
          <w:p w:rsidR="004405C9" w:rsidRPr="002D1A23" w:rsidRDefault="004405C9">
            <w:pPr>
              <w:jc w:val="center"/>
              <w:rPr>
                <w:rFonts w:ascii="Verdana" w:hAnsi="Verdana"/>
                <w:i/>
                <w:iCs/>
                <w:sz w:val="20"/>
                <w:szCs w:val="20"/>
              </w:rPr>
            </w:pPr>
            <w:r w:rsidRPr="002D1A23">
              <w:rPr>
                <w:rFonts w:ascii="Verdana" w:hAnsi="Verdana"/>
                <w:i/>
                <w:iCs/>
                <w:sz w:val="20"/>
                <w:szCs w:val="20"/>
              </w:rPr>
              <w:t>Total</w:t>
            </w: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sz w:val="20"/>
                <w:szCs w:val="20"/>
              </w:rPr>
            </w:pPr>
            <w:r w:rsidRPr="002D1A23">
              <w:rPr>
                <w:rFonts w:ascii="Verdana" w:hAnsi="Verdana"/>
                <w:sz w:val="20"/>
                <w:szCs w:val="20"/>
              </w:rPr>
              <w:t>Cost of beginning work in process</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4405C9" w:rsidP="002D1A23">
            <w:pPr>
              <w:jc w:val="right"/>
              <w:rPr>
                <w:rFonts w:ascii="Verdana" w:hAnsi="Verdana"/>
                <w:sz w:val="20"/>
                <w:szCs w:val="20"/>
              </w:rPr>
            </w:pPr>
            <w:r w:rsidRPr="002D1A23">
              <w:rPr>
                <w:rFonts w:ascii="Verdana" w:hAnsi="Verdana"/>
                <w:sz w:val="20"/>
                <w:szCs w:val="20"/>
              </w:rPr>
              <w:t>$</w:t>
            </w:r>
            <w:r w:rsidR="002D1A23" w:rsidRPr="002D1A23">
              <w:rPr>
                <w:rFonts w:ascii="Verdana" w:hAnsi="Verdana"/>
                <w:sz w:val="20"/>
                <w:szCs w:val="20"/>
              </w:rPr>
              <w:t>18908</w:t>
            </w:r>
            <w:r w:rsidRPr="002D1A23">
              <w:rPr>
                <w:rFonts w:ascii="Verdana" w:hAnsi="Verdana"/>
                <w:sz w:val="20"/>
                <w:szCs w:val="20"/>
              </w:rPr>
              <w:t xml:space="preserve"> </w:t>
            </w:r>
          </w:p>
        </w:tc>
        <w:tc>
          <w:tcPr>
            <w:tcW w:w="1170" w:type="dxa"/>
            <w:noWrap/>
            <w:tcMar>
              <w:top w:w="20" w:type="dxa"/>
              <w:left w:w="20" w:type="dxa"/>
              <w:bottom w:w="0" w:type="dxa"/>
              <w:right w:w="20" w:type="dxa"/>
            </w:tcMar>
            <w:vAlign w:val="bottom"/>
            <w:hideMark/>
          </w:tcPr>
          <w:p w:rsidR="004405C9" w:rsidRPr="002D1A23" w:rsidRDefault="004405C9" w:rsidP="002D1A23">
            <w:pPr>
              <w:jc w:val="right"/>
              <w:rPr>
                <w:rFonts w:ascii="Verdana" w:hAnsi="Verdana"/>
                <w:sz w:val="20"/>
                <w:szCs w:val="20"/>
              </w:rPr>
            </w:pPr>
            <w:r w:rsidRPr="002D1A23">
              <w:rPr>
                <w:rFonts w:ascii="Verdana" w:hAnsi="Verdana"/>
                <w:sz w:val="20"/>
                <w:szCs w:val="20"/>
              </w:rPr>
              <w:t>$ </w:t>
            </w:r>
            <w:r w:rsidR="002D1A23" w:rsidRPr="002D1A23">
              <w:rPr>
                <w:rFonts w:ascii="Verdana" w:hAnsi="Verdana"/>
                <w:sz w:val="20"/>
                <w:szCs w:val="20"/>
              </w:rPr>
              <w:t>11172</w:t>
            </w:r>
            <w:r w:rsidRPr="002D1A23">
              <w:rPr>
                <w:rFonts w:ascii="Verdana" w:hAnsi="Verdana"/>
                <w:sz w:val="20"/>
                <w:szCs w:val="20"/>
              </w:rPr>
              <w:t xml:space="preserve"> </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sz w:val="20"/>
                <w:szCs w:val="20"/>
              </w:rPr>
            </w:pPr>
            <w:r w:rsidRPr="002D1A23">
              <w:rPr>
                <w:rFonts w:ascii="Verdana" w:hAnsi="Verdana"/>
                <w:sz w:val="20"/>
                <w:szCs w:val="20"/>
              </w:rPr>
              <w:t>Cost added during the period</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u w:val="single"/>
              </w:rPr>
            </w:pPr>
            <w:r w:rsidRPr="002D1A23">
              <w:rPr>
                <w:rFonts w:ascii="Verdana" w:hAnsi="Verdana"/>
                <w:sz w:val="20"/>
                <w:szCs w:val="20"/>
                <w:u w:val="single"/>
              </w:rPr>
              <w:t>76105</w:t>
            </w:r>
            <w:r w:rsidR="004405C9" w:rsidRPr="002D1A23">
              <w:rPr>
                <w:rFonts w:ascii="Verdana" w:hAnsi="Verdana"/>
                <w:sz w:val="20"/>
                <w:szCs w:val="20"/>
                <w:u w:val="single"/>
              </w:rPr>
              <w:t xml:space="preserve"> </w:t>
            </w:r>
          </w:p>
        </w:tc>
        <w:tc>
          <w:tcPr>
            <w:tcW w:w="1170" w:type="dxa"/>
            <w:noWrap/>
            <w:tcMar>
              <w:top w:w="20" w:type="dxa"/>
              <w:left w:w="20" w:type="dxa"/>
              <w:bottom w:w="0" w:type="dxa"/>
              <w:right w:w="20" w:type="dxa"/>
            </w:tcMar>
            <w:vAlign w:val="bottom"/>
            <w:hideMark/>
          </w:tcPr>
          <w:p w:rsidR="004405C9" w:rsidRPr="002D1A23" w:rsidRDefault="004405C9" w:rsidP="002D1A23">
            <w:pPr>
              <w:jc w:val="right"/>
              <w:rPr>
                <w:rFonts w:ascii="Verdana" w:hAnsi="Verdana"/>
                <w:sz w:val="20"/>
                <w:szCs w:val="20"/>
                <w:u w:val="single"/>
              </w:rPr>
            </w:pPr>
            <w:r w:rsidRPr="002D1A23">
              <w:rPr>
                <w:rFonts w:ascii="Verdana" w:hAnsi="Verdana"/>
                <w:sz w:val="20"/>
                <w:szCs w:val="20"/>
                <w:u w:val="single"/>
              </w:rPr>
              <w:t> </w:t>
            </w:r>
            <w:r w:rsidR="002D1A23" w:rsidRPr="002D1A23">
              <w:rPr>
                <w:rFonts w:ascii="Verdana" w:hAnsi="Verdana"/>
                <w:sz w:val="20"/>
                <w:szCs w:val="20"/>
                <w:u w:val="single"/>
              </w:rPr>
              <w:t>32550</w:t>
            </w:r>
            <w:r w:rsidRPr="002D1A23">
              <w:rPr>
                <w:rFonts w:ascii="Verdana" w:hAnsi="Verdana"/>
                <w:sz w:val="20"/>
                <w:szCs w:val="20"/>
                <w:u w:val="single"/>
              </w:rPr>
              <w:t xml:space="preserve"> </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sz w:val="20"/>
                <w:szCs w:val="20"/>
              </w:rPr>
            </w:pPr>
            <w:r w:rsidRPr="002D1A23">
              <w:rPr>
                <w:rFonts w:ascii="Verdana" w:hAnsi="Verdana"/>
                <w:sz w:val="20"/>
                <w:szCs w:val="20"/>
              </w:rPr>
              <w:t>Total cost (a)</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u w:val="double"/>
              </w:rPr>
            </w:pPr>
            <w:r w:rsidRPr="002D1A23">
              <w:rPr>
                <w:rFonts w:ascii="Verdana" w:hAnsi="Verdana"/>
                <w:sz w:val="20"/>
                <w:szCs w:val="20"/>
                <w:u w:val="double"/>
              </w:rPr>
              <w:t>95013</w:t>
            </w:r>
            <w:r w:rsidR="004405C9" w:rsidRPr="002D1A23">
              <w:rPr>
                <w:rFonts w:ascii="Verdana" w:hAnsi="Verdana"/>
                <w:sz w:val="20"/>
                <w:szCs w:val="20"/>
                <w:u w:val="double"/>
              </w:rPr>
              <w:t xml:space="preserve"> </w:t>
            </w:r>
          </w:p>
        </w:tc>
        <w:tc>
          <w:tcPr>
            <w:tcW w:w="117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u w:val="double"/>
              </w:rPr>
            </w:pPr>
            <w:r w:rsidRPr="002D1A23">
              <w:rPr>
                <w:rFonts w:ascii="Verdana" w:hAnsi="Verdana"/>
                <w:sz w:val="20"/>
                <w:szCs w:val="20"/>
                <w:u w:val="double"/>
              </w:rPr>
              <w:t>43722</w:t>
            </w:r>
            <w:r w:rsidR="004405C9" w:rsidRPr="002D1A23">
              <w:rPr>
                <w:rFonts w:ascii="Verdana" w:hAnsi="Verdana"/>
                <w:sz w:val="20"/>
                <w:szCs w:val="20"/>
                <w:u w:val="double"/>
              </w:rPr>
              <w:t xml:space="preserve"> </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tcPr>
          <w:p w:rsidR="004405C9" w:rsidRPr="002D1A23" w:rsidRDefault="004405C9">
            <w:pPr>
              <w:tabs>
                <w:tab w:val="right" w:leader="dot" w:pos="4550"/>
              </w:tabs>
              <w:ind w:left="216" w:hanging="216"/>
              <w:rPr>
                <w:rFonts w:ascii="Verdana" w:hAnsi="Verdana"/>
                <w:sz w:val="20"/>
                <w:szCs w:val="20"/>
              </w:rPr>
            </w:pPr>
          </w:p>
        </w:tc>
        <w:tc>
          <w:tcPr>
            <w:tcW w:w="108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c>
          <w:tcPr>
            <w:tcW w:w="117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sz w:val="20"/>
                <w:szCs w:val="20"/>
              </w:rPr>
            </w:pPr>
            <w:r w:rsidRPr="002D1A23">
              <w:rPr>
                <w:rFonts w:ascii="Verdana" w:hAnsi="Verdana"/>
                <w:sz w:val="20"/>
                <w:szCs w:val="20"/>
              </w:rPr>
              <w:t>Equivalent units of production (b)</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rPr>
            </w:pPr>
            <w:r w:rsidRPr="002D1A23">
              <w:rPr>
                <w:rFonts w:ascii="Verdana" w:hAnsi="Verdana"/>
                <w:sz w:val="20"/>
                <w:szCs w:val="20"/>
              </w:rPr>
              <w:t>70380</w:t>
            </w:r>
            <w:r w:rsidR="004405C9" w:rsidRPr="002D1A23">
              <w:rPr>
                <w:rFonts w:ascii="Verdana" w:hAnsi="Verdana"/>
                <w:sz w:val="20"/>
                <w:szCs w:val="20"/>
              </w:rPr>
              <w:t xml:space="preserve"> </w:t>
            </w:r>
          </w:p>
        </w:tc>
        <w:tc>
          <w:tcPr>
            <w:tcW w:w="117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rPr>
            </w:pPr>
            <w:r w:rsidRPr="002D1A23">
              <w:rPr>
                <w:rFonts w:ascii="Verdana" w:hAnsi="Verdana"/>
                <w:sz w:val="20"/>
                <w:szCs w:val="20"/>
              </w:rPr>
              <w:t>62460</w:t>
            </w:r>
          </w:p>
        </w:tc>
        <w:tc>
          <w:tcPr>
            <w:tcW w:w="810" w:type="dxa"/>
            <w:noWrap/>
            <w:tcMar>
              <w:top w:w="20" w:type="dxa"/>
              <w:left w:w="20" w:type="dxa"/>
              <w:bottom w:w="0" w:type="dxa"/>
              <w:right w:w="20" w:type="dxa"/>
            </w:tcMar>
            <w:vAlign w:val="bottom"/>
          </w:tcPr>
          <w:p w:rsidR="004405C9" w:rsidRPr="002D1A23" w:rsidRDefault="004405C9">
            <w:pPr>
              <w:rPr>
                <w:rFonts w:ascii="Verdana" w:hAnsi="Verdana"/>
                <w:sz w:val="20"/>
                <w:szCs w:val="20"/>
              </w:rPr>
            </w:pPr>
          </w:p>
        </w:tc>
      </w:tr>
      <w:tr w:rsidR="004405C9" w:rsidRPr="002D1A23" w:rsidTr="004405C9">
        <w:trPr>
          <w:trHeight w:val="255"/>
        </w:trPr>
        <w:tc>
          <w:tcPr>
            <w:tcW w:w="200" w:type="dxa"/>
          </w:tcPr>
          <w:p w:rsidR="004405C9" w:rsidRPr="002D1A23" w:rsidRDefault="004405C9">
            <w:pPr>
              <w:rPr>
                <w:rFonts w:ascii="Verdana" w:hAnsi="Verdana"/>
                <w:sz w:val="20"/>
                <w:szCs w:val="20"/>
              </w:rPr>
            </w:pPr>
          </w:p>
        </w:tc>
        <w:tc>
          <w:tcPr>
            <w:tcW w:w="4590" w:type="dxa"/>
            <w:tcMar>
              <w:top w:w="20" w:type="dxa"/>
              <w:left w:w="20" w:type="dxa"/>
              <w:bottom w:w="0" w:type="dxa"/>
              <w:right w:w="20" w:type="dxa"/>
            </w:tcMar>
            <w:vAlign w:val="bottom"/>
            <w:hideMark/>
          </w:tcPr>
          <w:p w:rsidR="004405C9" w:rsidRPr="002D1A23" w:rsidRDefault="004405C9">
            <w:pPr>
              <w:tabs>
                <w:tab w:val="right" w:leader="dot" w:pos="4550"/>
              </w:tabs>
              <w:ind w:left="216" w:hanging="216"/>
              <w:rPr>
                <w:rFonts w:ascii="Verdana" w:hAnsi="Verdana"/>
                <w:sz w:val="20"/>
                <w:szCs w:val="20"/>
              </w:rPr>
            </w:pPr>
            <w:r w:rsidRPr="002D1A23">
              <w:rPr>
                <w:rFonts w:ascii="Verdana" w:hAnsi="Verdana"/>
                <w:sz w:val="20"/>
                <w:szCs w:val="20"/>
              </w:rPr>
              <w:t>Cos</w:t>
            </w:r>
            <w:r w:rsidR="002D1A23" w:rsidRPr="002D1A23">
              <w:rPr>
                <w:rFonts w:ascii="Verdana" w:hAnsi="Verdana"/>
                <w:sz w:val="20"/>
                <w:szCs w:val="20"/>
              </w:rPr>
              <w:t>t per equivalent unit</w:t>
            </w:r>
            <w:r w:rsidRPr="002D1A23">
              <w:rPr>
                <w:rFonts w:ascii="Verdana" w:hAnsi="Verdana"/>
                <w:sz w:val="20"/>
                <w:szCs w:val="20"/>
              </w:rPr>
              <w:tab/>
            </w:r>
          </w:p>
        </w:tc>
        <w:tc>
          <w:tcPr>
            <w:tcW w:w="1080" w:type="dxa"/>
            <w:noWrap/>
            <w:tcMar>
              <w:top w:w="20" w:type="dxa"/>
              <w:left w:w="20" w:type="dxa"/>
              <w:bottom w:w="0" w:type="dxa"/>
              <w:right w:w="20" w:type="dxa"/>
            </w:tcMar>
            <w:vAlign w:val="bottom"/>
            <w:hideMark/>
          </w:tcPr>
          <w:p w:rsidR="004405C9" w:rsidRPr="002D1A23" w:rsidRDefault="004405C9" w:rsidP="002D1A23">
            <w:pPr>
              <w:jc w:val="right"/>
              <w:rPr>
                <w:rFonts w:ascii="Verdana" w:hAnsi="Verdana"/>
                <w:sz w:val="20"/>
                <w:szCs w:val="20"/>
              </w:rPr>
            </w:pPr>
            <w:r w:rsidRPr="002D1A23">
              <w:rPr>
                <w:rFonts w:ascii="Verdana" w:hAnsi="Verdana"/>
                <w:sz w:val="20"/>
                <w:szCs w:val="20"/>
              </w:rPr>
              <w:t>$</w:t>
            </w:r>
            <w:r w:rsidR="002D1A23" w:rsidRPr="002D1A23">
              <w:rPr>
                <w:rFonts w:ascii="Verdana" w:hAnsi="Verdana"/>
                <w:sz w:val="20"/>
                <w:szCs w:val="20"/>
              </w:rPr>
              <w:t>$1.35</w:t>
            </w:r>
            <w:r w:rsidRPr="002D1A23">
              <w:rPr>
                <w:rFonts w:ascii="Verdana" w:hAnsi="Verdana"/>
                <w:sz w:val="20"/>
                <w:szCs w:val="20"/>
              </w:rPr>
              <w:t xml:space="preserve"> </w:t>
            </w:r>
          </w:p>
        </w:tc>
        <w:tc>
          <w:tcPr>
            <w:tcW w:w="1170" w:type="dxa"/>
            <w:noWrap/>
            <w:tcMar>
              <w:top w:w="20" w:type="dxa"/>
              <w:left w:w="20" w:type="dxa"/>
              <w:bottom w:w="0" w:type="dxa"/>
              <w:right w:w="20" w:type="dxa"/>
            </w:tcMar>
            <w:vAlign w:val="bottom"/>
            <w:hideMark/>
          </w:tcPr>
          <w:p w:rsidR="004405C9" w:rsidRPr="002D1A23" w:rsidRDefault="002D1A23">
            <w:pPr>
              <w:jc w:val="right"/>
              <w:rPr>
                <w:rFonts w:ascii="Verdana" w:hAnsi="Verdana"/>
                <w:sz w:val="20"/>
                <w:szCs w:val="20"/>
              </w:rPr>
            </w:pPr>
            <w:r w:rsidRPr="002D1A23">
              <w:rPr>
                <w:rFonts w:ascii="Verdana" w:hAnsi="Verdana"/>
                <w:sz w:val="20"/>
                <w:szCs w:val="20"/>
              </w:rPr>
              <w:t>$.7</w:t>
            </w:r>
            <w:r w:rsidR="004405C9" w:rsidRPr="002D1A23">
              <w:rPr>
                <w:rFonts w:ascii="Verdana" w:hAnsi="Verdana"/>
                <w:sz w:val="20"/>
                <w:szCs w:val="20"/>
              </w:rPr>
              <w:t xml:space="preserve">0 </w:t>
            </w:r>
          </w:p>
        </w:tc>
        <w:tc>
          <w:tcPr>
            <w:tcW w:w="810" w:type="dxa"/>
            <w:noWrap/>
            <w:tcMar>
              <w:top w:w="20" w:type="dxa"/>
              <w:left w:w="20" w:type="dxa"/>
              <w:bottom w:w="0" w:type="dxa"/>
              <w:right w:w="20" w:type="dxa"/>
            </w:tcMar>
            <w:vAlign w:val="bottom"/>
            <w:hideMark/>
          </w:tcPr>
          <w:p w:rsidR="004405C9" w:rsidRPr="002D1A23" w:rsidRDefault="004405C9" w:rsidP="002D1A23">
            <w:pPr>
              <w:jc w:val="right"/>
              <w:rPr>
                <w:rFonts w:ascii="Verdana" w:hAnsi="Verdana"/>
                <w:sz w:val="20"/>
                <w:szCs w:val="20"/>
              </w:rPr>
            </w:pPr>
            <w:r w:rsidRPr="002D1A23">
              <w:rPr>
                <w:rFonts w:ascii="Verdana" w:hAnsi="Verdana"/>
                <w:sz w:val="20"/>
                <w:szCs w:val="20"/>
              </w:rPr>
              <w:t>$</w:t>
            </w:r>
            <w:r w:rsidR="002D1A23" w:rsidRPr="002D1A23">
              <w:rPr>
                <w:rFonts w:ascii="Verdana" w:hAnsi="Verdana"/>
                <w:sz w:val="20"/>
                <w:szCs w:val="20"/>
              </w:rPr>
              <w:t>2.05</w:t>
            </w:r>
            <w:r w:rsidRPr="002D1A23">
              <w:rPr>
                <w:rFonts w:ascii="Verdana" w:hAnsi="Verdana"/>
                <w:sz w:val="20"/>
                <w:szCs w:val="20"/>
              </w:rPr>
              <w:t xml:space="preserve"> </w:t>
            </w:r>
          </w:p>
        </w:tc>
      </w:tr>
      <w:bookmarkEnd w:id="0"/>
    </w:tbl>
    <w:p w:rsidR="004405C9" w:rsidRPr="002D1A23" w:rsidRDefault="004405C9">
      <w:pPr>
        <w:rPr>
          <w:rFonts w:ascii="Verdana" w:hAnsi="Verdana"/>
          <w:sz w:val="20"/>
          <w:szCs w:val="20"/>
        </w:rPr>
      </w:pPr>
    </w:p>
    <w:sectPr w:rsidR="004405C9" w:rsidRPr="002D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C9"/>
    <w:rsid w:val="002D1A23"/>
    <w:rsid w:val="004405C9"/>
    <w:rsid w:val="004D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05C9"/>
  </w:style>
  <w:style w:type="paragraph" w:customStyle="1" w:styleId="Testbank">
    <w:name w:val="Testbank"/>
    <w:rsid w:val="004405C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05C9"/>
  </w:style>
  <w:style w:type="paragraph" w:customStyle="1" w:styleId="Testbank">
    <w:name w:val="Testbank"/>
    <w:rsid w:val="004405C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Brian</cp:lastModifiedBy>
  <cp:revision>1</cp:revision>
  <cp:lastPrinted>2016-02-14T22:15:00Z</cp:lastPrinted>
  <dcterms:created xsi:type="dcterms:W3CDTF">2016-02-14T22:09:00Z</dcterms:created>
  <dcterms:modified xsi:type="dcterms:W3CDTF">2016-02-14T22:27:00Z</dcterms:modified>
</cp:coreProperties>
</file>