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6C" w:rsidRPr="00FA1C15" w:rsidRDefault="00EE076C" w:rsidP="00EE076C">
      <w:pPr>
        <w:rPr>
          <w:rFonts w:eastAsia="Times New Roman" w:cs="Helvetica"/>
        </w:rPr>
      </w:pPr>
      <w:r>
        <w:rPr>
          <w:rFonts w:eastAsia="Times New Roman" w:cs="Helvetica"/>
        </w:rPr>
        <w:t>MGT 4010/6010 Fall 2015</w:t>
      </w:r>
    </w:p>
    <w:p w:rsidR="00EE076C" w:rsidRPr="00FA1C15" w:rsidRDefault="00EE076C" w:rsidP="00EE076C">
      <w:pPr>
        <w:rPr>
          <w:rFonts w:eastAsia="Times New Roman" w:cs="Helvetica"/>
        </w:rPr>
      </w:pPr>
      <w:r w:rsidRPr="00FA1C15">
        <w:rPr>
          <w:rFonts w:eastAsia="Times New Roman" w:cs="Helvetica"/>
        </w:rPr>
        <w:t>Dr. J. Turner</w:t>
      </w:r>
    </w:p>
    <w:p w:rsidR="00EE076C" w:rsidRPr="00FA1C15" w:rsidRDefault="00EE076C" w:rsidP="00EE076C">
      <w:pPr>
        <w:rPr>
          <w:rFonts w:eastAsia="Times New Roman" w:cs="Helvetica"/>
        </w:rPr>
      </w:pPr>
    </w:p>
    <w:p w:rsidR="00EE076C" w:rsidRPr="00FA1C15" w:rsidRDefault="00EE076C" w:rsidP="00EE076C">
      <w:pPr>
        <w:rPr>
          <w:rFonts w:eastAsia="Times New Roman" w:cs="Helvetica"/>
        </w:rPr>
      </w:pPr>
      <w:r w:rsidRPr="00FA1C15">
        <w:rPr>
          <w:rFonts w:eastAsia="Times New Roman" w:cs="Helvetica"/>
        </w:rPr>
        <w:t>Case 4 – Corporate Tax return</w:t>
      </w:r>
      <w:r w:rsidR="000161D5">
        <w:rPr>
          <w:rFonts w:eastAsia="Times New Roman" w:cs="Helvetica"/>
        </w:rPr>
        <w:t xml:space="preserve"> due November 24, 2015 (revised due date)</w:t>
      </w:r>
    </w:p>
    <w:p w:rsidR="00EE076C" w:rsidRPr="00FA1C15" w:rsidRDefault="00EE076C" w:rsidP="00EE076C">
      <w:pPr>
        <w:rPr>
          <w:rFonts w:eastAsia="Times New Roman" w:cs="Helvetica"/>
        </w:rPr>
      </w:pPr>
    </w:p>
    <w:p w:rsidR="00EE076C" w:rsidRPr="00FA1C15" w:rsidRDefault="00EE076C" w:rsidP="00EE076C">
      <w:pPr>
        <w:numPr>
          <w:ilvl w:val="0"/>
          <w:numId w:val="23"/>
        </w:numPr>
        <w:contextualSpacing/>
        <w:rPr>
          <w:rFonts w:eastAsia="Times New Roman" w:cs="Helvetica"/>
        </w:rPr>
      </w:pPr>
      <w:r w:rsidRPr="00FA1C15">
        <w:rPr>
          <w:rFonts w:eastAsia="Times New Roman" w:cs="Helvetica"/>
        </w:rPr>
        <w:t xml:space="preserve">The Case 4 assignment is due </w:t>
      </w:r>
      <w:r>
        <w:rPr>
          <w:rFonts w:eastAsia="Times New Roman" w:cs="Helvetica"/>
        </w:rPr>
        <w:t>in</w:t>
      </w:r>
      <w:r w:rsidR="000161D5">
        <w:rPr>
          <w:rFonts w:eastAsia="Times New Roman" w:cs="Helvetica"/>
        </w:rPr>
        <w:t xml:space="preserve"> class on November 24</w:t>
      </w:r>
      <w:r w:rsidRPr="00FA1C15">
        <w:rPr>
          <w:rFonts w:eastAsia="Times New Roman" w:cs="Helvetica"/>
        </w:rPr>
        <w:t xml:space="preserve">.  It may be turned in early.  It will </w:t>
      </w:r>
      <w:r w:rsidR="000161D5">
        <w:rPr>
          <w:rFonts w:eastAsia="Times New Roman" w:cs="Helvetica"/>
        </w:rPr>
        <w:t>not be accepted after November 24</w:t>
      </w:r>
      <w:r w:rsidRPr="00FA1C15">
        <w:rPr>
          <w:rFonts w:eastAsia="Times New Roman" w:cs="Helvetica"/>
        </w:rPr>
        <w:t>.</w:t>
      </w:r>
      <w:r>
        <w:rPr>
          <w:rFonts w:eastAsia="Times New Roman" w:cs="Helvetica"/>
        </w:rPr>
        <w:t xml:space="preserve">  You must turn in a hard copy.  I will not accept the assignment electronically.</w:t>
      </w:r>
    </w:p>
    <w:p w:rsidR="00EE076C" w:rsidRPr="00FA1C15" w:rsidRDefault="00EE076C" w:rsidP="00EE076C">
      <w:pPr>
        <w:rPr>
          <w:rFonts w:eastAsia="Times New Roman" w:cs="Helvetica"/>
        </w:rPr>
      </w:pPr>
    </w:p>
    <w:p w:rsidR="00EE076C" w:rsidRPr="00FA1C15" w:rsidRDefault="00EE076C" w:rsidP="00EE076C">
      <w:pPr>
        <w:numPr>
          <w:ilvl w:val="0"/>
          <w:numId w:val="23"/>
        </w:numPr>
        <w:contextualSpacing/>
        <w:rPr>
          <w:rFonts w:eastAsia="Times New Roman" w:cs="Helvetica"/>
        </w:rPr>
      </w:pPr>
      <w:r w:rsidRPr="00FA1C15">
        <w:rPr>
          <w:rFonts w:eastAsia="Times New Roman" w:cs="Helvetica"/>
        </w:rPr>
        <w:t>You may</w:t>
      </w:r>
      <w:r>
        <w:rPr>
          <w:rFonts w:eastAsia="Times New Roman" w:cs="Helvetica"/>
        </w:rPr>
        <w:t>,</w:t>
      </w:r>
      <w:r w:rsidRPr="00FA1C15">
        <w:rPr>
          <w:rFonts w:eastAsia="Times New Roman" w:cs="Helvetica"/>
        </w:rPr>
        <w:t xml:space="preserve"> and I encourage you to work with a partner.  I will accept assignments from groups of no more than two stud</w:t>
      </w:r>
      <w:r>
        <w:rPr>
          <w:rFonts w:eastAsia="Times New Roman" w:cs="Helvetica"/>
        </w:rPr>
        <w:t>ents.  Please put each student’s name</w:t>
      </w:r>
      <w:r w:rsidRPr="00FA1C15">
        <w:rPr>
          <w:rFonts w:eastAsia="Times New Roman" w:cs="Helvetica"/>
        </w:rPr>
        <w:t xml:space="preserve"> on the assignment.  Each student in the partnership will receive the same grade.</w:t>
      </w:r>
    </w:p>
    <w:p w:rsidR="00EE076C" w:rsidRPr="00FA1C15" w:rsidRDefault="00EE076C" w:rsidP="00EE076C">
      <w:pPr>
        <w:rPr>
          <w:rFonts w:eastAsia="Times New Roman" w:cs="Helvetica"/>
        </w:rPr>
      </w:pPr>
    </w:p>
    <w:p w:rsidR="00EE076C" w:rsidRPr="00FA1C15" w:rsidRDefault="00EE076C" w:rsidP="00EE076C">
      <w:pPr>
        <w:numPr>
          <w:ilvl w:val="0"/>
          <w:numId w:val="23"/>
        </w:numPr>
        <w:contextualSpacing/>
        <w:rPr>
          <w:rFonts w:eastAsia="Times New Roman" w:cs="Helvetica"/>
        </w:rPr>
      </w:pPr>
      <w:r w:rsidRPr="00FA1C15">
        <w:rPr>
          <w:rFonts w:eastAsia="Times New Roman" w:cs="Helvetica"/>
        </w:rPr>
        <w:t xml:space="preserve">You are required to complete and turn in </w:t>
      </w:r>
      <w:r w:rsidR="00B60046">
        <w:rPr>
          <w:rFonts w:eastAsia="Times New Roman" w:cs="Helvetica"/>
        </w:rPr>
        <w:t xml:space="preserve">(1) </w:t>
      </w:r>
      <w:r w:rsidRPr="00FA1C15">
        <w:rPr>
          <w:rFonts w:eastAsia="Times New Roman" w:cs="Helvetica"/>
        </w:rPr>
        <w:t>201</w:t>
      </w:r>
      <w:r>
        <w:rPr>
          <w:rFonts w:eastAsia="Times New Roman" w:cs="Helvetica"/>
        </w:rPr>
        <w:t>4</w:t>
      </w:r>
      <w:r w:rsidRPr="00FA1C15">
        <w:rPr>
          <w:rFonts w:eastAsia="Times New Roman" w:cs="Helvetica"/>
        </w:rPr>
        <w:t xml:space="preserve"> Form 1120</w:t>
      </w:r>
      <w:r>
        <w:rPr>
          <w:rFonts w:eastAsia="Times New Roman" w:cs="Helvetica"/>
        </w:rPr>
        <w:t xml:space="preserve"> (all five pages)</w:t>
      </w:r>
      <w:r w:rsidRPr="00FA1C15">
        <w:rPr>
          <w:rFonts w:eastAsia="Times New Roman" w:cs="Helvetica"/>
        </w:rPr>
        <w:t>, Schedule D (Form 1120), and Schedule G (Form 1120)</w:t>
      </w:r>
      <w:r w:rsidR="00B60046">
        <w:rPr>
          <w:rFonts w:eastAsia="Times New Roman" w:cs="Helvetica"/>
        </w:rPr>
        <w:t>, (2) a detail schedule showing your computation of the corporate income tax due on taxable income</w:t>
      </w:r>
      <w:r w:rsidRPr="00FA1C15">
        <w:rPr>
          <w:rFonts w:eastAsia="Times New Roman" w:cs="Helvetica"/>
        </w:rPr>
        <w:t xml:space="preserve">.  No other </w:t>
      </w:r>
      <w:r>
        <w:rPr>
          <w:rFonts w:eastAsia="Times New Roman" w:cs="Helvetica"/>
        </w:rPr>
        <w:t xml:space="preserve">official </w:t>
      </w:r>
      <w:r w:rsidRPr="00FA1C15">
        <w:rPr>
          <w:rFonts w:eastAsia="Times New Roman" w:cs="Helvetica"/>
        </w:rPr>
        <w:t>forms or schedules are necessary to be submitted.  When completing Schedule D, do not complete or submit Form 8949.</w:t>
      </w:r>
    </w:p>
    <w:p w:rsidR="00EE076C" w:rsidRPr="00FA1C15" w:rsidRDefault="00EE076C" w:rsidP="00EE076C">
      <w:pPr>
        <w:rPr>
          <w:rFonts w:eastAsia="Times New Roman" w:cs="Helvetica"/>
        </w:rPr>
      </w:pPr>
    </w:p>
    <w:p w:rsidR="00393FCE" w:rsidRPr="00B60046" w:rsidRDefault="00393FCE" w:rsidP="00393FCE">
      <w:pPr>
        <w:spacing w:after="60"/>
        <w:rPr>
          <w:b/>
          <w:i/>
        </w:rPr>
      </w:pPr>
      <w:r w:rsidRPr="00B60046">
        <w:rPr>
          <w:b/>
          <w:i/>
        </w:rPr>
        <w:t>Required:</w:t>
      </w:r>
    </w:p>
    <w:p w:rsidR="00393FCE" w:rsidRPr="00393FCE" w:rsidRDefault="00393FCE" w:rsidP="00393FCE">
      <w:pPr>
        <w:numPr>
          <w:ilvl w:val="0"/>
          <w:numId w:val="1"/>
        </w:numPr>
        <w:spacing w:after="60"/>
      </w:pPr>
      <w:r>
        <w:t>Complete Carlyle Catering Service Inc.'s (C</w:t>
      </w:r>
      <w:r w:rsidRPr="00393FCE">
        <w:t>CS) 201</w:t>
      </w:r>
      <w:r>
        <w:t>4</w:t>
      </w:r>
      <w:r w:rsidRPr="00393FCE">
        <w:t xml:space="preserve"> Form 1120, Schedule D, and Schedule G (if applicable) using the information provided below.</w:t>
      </w:r>
    </w:p>
    <w:p w:rsidR="00393FCE" w:rsidRPr="00393FCE" w:rsidRDefault="00393FCE" w:rsidP="00393FCE">
      <w:pPr>
        <w:numPr>
          <w:ilvl w:val="0"/>
          <w:numId w:val="2"/>
        </w:numPr>
        <w:spacing w:after="60"/>
      </w:pPr>
      <w:r w:rsidRPr="00393FCE">
        <w:t>Form 4562 for depreciation is not required. Include the amount of tax depreciation given in the problem on the appropriate line on the first page of Form 1120.</w:t>
      </w:r>
    </w:p>
    <w:p w:rsidR="00393FCE" w:rsidRPr="00393FCE" w:rsidRDefault="00393FCE" w:rsidP="00393FCE">
      <w:pPr>
        <w:numPr>
          <w:ilvl w:val="0"/>
          <w:numId w:val="3"/>
        </w:numPr>
        <w:spacing w:after="60"/>
      </w:pPr>
      <w:r w:rsidRPr="00393FCE">
        <w:t xml:space="preserve">Assume that </w:t>
      </w:r>
      <w:r>
        <w:t>CCS</w:t>
      </w:r>
      <w:r w:rsidRPr="00393FCE">
        <w:t xml:space="preserve"> does not owe any alternative minimum tax.</w:t>
      </w:r>
    </w:p>
    <w:p w:rsidR="00393FCE" w:rsidRPr="00393FCE" w:rsidRDefault="00393FCE" w:rsidP="00393FCE">
      <w:pPr>
        <w:numPr>
          <w:ilvl w:val="0"/>
          <w:numId w:val="4"/>
        </w:numPr>
        <w:spacing w:after="60"/>
      </w:pPr>
      <w:r w:rsidRPr="00393FCE">
        <w:t>If any information is missing, use reasonable assumptions to fill in the gaps.</w:t>
      </w:r>
    </w:p>
    <w:p w:rsidR="00393FCE" w:rsidRDefault="00393FCE" w:rsidP="00393FCE">
      <w:pPr>
        <w:numPr>
          <w:ilvl w:val="0"/>
          <w:numId w:val="5"/>
        </w:numPr>
        <w:spacing w:after="60"/>
      </w:pPr>
      <w:r w:rsidRPr="00393FCE">
        <w:t>The forms, schedules, and instructions can be found at the IRS website (www.irs.gov). The instructions can be helpful in completing the forms.</w:t>
      </w:r>
    </w:p>
    <w:p w:rsidR="00EE076C" w:rsidRPr="00C64E6D" w:rsidRDefault="00EE076C" w:rsidP="00EE076C">
      <w:pPr>
        <w:numPr>
          <w:ilvl w:val="0"/>
          <w:numId w:val="5"/>
        </w:numPr>
        <w:spacing w:after="60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 xml:space="preserve">You must determine any book/tax differences in computing federal taxable income.  I would suggest that you start with Schedule M-1, and complete that schedule before you start preparation of the </w:t>
      </w:r>
      <w:r w:rsidR="00B60046">
        <w:rPr>
          <w:rFonts w:ascii="Calibri" w:eastAsia="Times New Roman" w:hAnsi="Calibri" w:cs="Helvetica"/>
        </w:rPr>
        <w:t xml:space="preserve">required tax </w:t>
      </w:r>
      <w:r>
        <w:rPr>
          <w:rFonts w:ascii="Calibri" w:eastAsia="Times New Roman" w:hAnsi="Calibri" w:cs="Helvetica"/>
        </w:rPr>
        <w:t>forms.</w:t>
      </w:r>
    </w:p>
    <w:p w:rsidR="00EE076C" w:rsidRPr="00393FCE" w:rsidRDefault="00EE076C" w:rsidP="00EE076C">
      <w:pPr>
        <w:spacing w:after="60"/>
        <w:ind w:left="720"/>
      </w:pPr>
    </w:p>
    <w:p w:rsidR="00393FCE" w:rsidRPr="00B60046" w:rsidRDefault="00393FCE" w:rsidP="00393FCE">
      <w:pPr>
        <w:spacing w:after="60"/>
        <w:rPr>
          <w:b/>
          <w:i/>
        </w:rPr>
      </w:pPr>
      <w:r w:rsidRPr="00B60046">
        <w:rPr>
          <w:b/>
          <w:i/>
        </w:rPr>
        <w:t>Facts:</w:t>
      </w:r>
    </w:p>
    <w:p w:rsidR="00393FCE" w:rsidRPr="00393FCE" w:rsidRDefault="00393FCE" w:rsidP="00393FCE">
      <w:pPr>
        <w:spacing w:after="60"/>
      </w:pPr>
      <w:r>
        <w:t>Sara Siler, Frank Funk, and Connie</w:t>
      </w:r>
      <w:r w:rsidRPr="00393FCE">
        <w:t xml:space="preserve"> </w:t>
      </w:r>
      <w:proofErr w:type="spellStart"/>
      <w:r w:rsidRPr="00393FCE">
        <w:t>Cloward</w:t>
      </w:r>
      <w:proofErr w:type="spellEnd"/>
      <w:r w:rsidRPr="00393FCE">
        <w:t xml:space="preserve"> each own one-third of the common stock of Blue Catering Services Inc. (</w:t>
      </w:r>
      <w:r>
        <w:t>CCS</w:t>
      </w:r>
      <w:bookmarkStart w:id="0" w:name="_GoBack"/>
      <w:r w:rsidRPr="00393FCE">
        <w:t xml:space="preserve">). </w:t>
      </w:r>
      <w:r>
        <w:t>CCS</w:t>
      </w:r>
      <w:r w:rsidRPr="00393FCE">
        <w:t xml:space="preserve"> was incorporated on February 4, 2008. It has only one class of stock outstanding and operates as a C corporation for tax purposes. </w:t>
      </w:r>
      <w:r>
        <w:t>CCS</w:t>
      </w:r>
      <w:r w:rsidRPr="00393FCE">
        <w:t xml:space="preserve"> caters all types of social events throughout southern California.</w:t>
      </w:r>
    </w:p>
    <w:bookmarkEnd w:id="0"/>
    <w:p w:rsidR="00393FCE" w:rsidRPr="00393FCE" w:rsidRDefault="00393FCE" w:rsidP="00393FCE">
      <w:pPr>
        <w:numPr>
          <w:ilvl w:val="0"/>
          <w:numId w:val="6"/>
        </w:numPr>
        <w:spacing w:after="60"/>
      </w:pPr>
      <w:r>
        <w:t>CCS</w:t>
      </w:r>
      <w:r w:rsidRPr="00393FCE">
        <w:t xml:space="preserve"> is locat</w:t>
      </w:r>
      <w:r w:rsidR="00B60046">
        <w:t>ed at 540 Bagel Way, Cloud Nine, CA 92000</w:t>
      </w:r>
      <w:r w:rsidRPr="00393FCE">
        <w:t>.</w:t>
      </w:r>
    </w:p>
    <w:p w:rsidR="00393FCE" w:rsidRPr="00393FCE" w:rsidRDefault="00393FCE" w:rsidP="00393FCE">
      <w:pPr>
        <w:numPr>
          <w:ilvl w:val="0"/>
          <w:numId w:val="7"/>
        </w:numPr>
        <w:spacing w:after="60"/>
      </w:pPr>
      <w:r>
        <w:t>CCS</w:t>
      </w:r>
      <w:r w:rsidRPr="00393FCE">
        <w:t>'s Employer Identification Number is 38-4743474.</w:t>
      </w:r>
    </w:p>
    <w:p w:rsidR="00393FCE" w:rsidRPr="00393FCE" w:rsidRDefault="00393FCE" w:rsidP="00393FCE">
      <w:pPr>
        <w:numPr>
          <w:ilvl w:val="0"/>
          <w:numId w:val="8"/>
        </w:numPr>
        <w:spacing w:after="60"/>
      </w:pPr>
      <w:r>
        <w:t>CCS</w:t>
      </w:r>
      <w:r w:rsidRPr="00393FCE">
        <w:t>'s business activity is catering food and services. Its business activity code is 722300.</w:t>
      </w:r>
    </w:p>
    <w:p w:rsidR="00393FCE" w:rsidRPr="00393FCE" w:rsidRDefault="00393FCE" w:rsidP="00393FCE">
      <w:pPr>
        <w:numPr>
          <w:ilvl w:val="0"/>
          <w:numId w:val="9"/>
        </w:numPr>
        <w:spacing w:after="60"/>
      </w:pPr>
      <w:r w:rsidRPr="00393FCE">
        <w:t>The shareholders also work as officers for the corporation as follows:</w:t>
      </w:r>
    </w:p>
    <w:p w:rsidR="00393FCE" w:rsidRPr="00393FCE" w:rsidRDefault="00393FCE" w:rsidP="00393FCE">
      <w:pPr>
        <w:numPr>
          <w:ilvl w:val="1"/>
          <w:numId w:val="10"/>
        </w:numPr>
        <w:spacing w:after="60"/>
      </w:pPr>
      <w:r>
        <w:t>S</w:t>
      </w:r>
      <w:r w:rsidRPr="00393FCE">
        <w:t>ara is the chief executive officer and president (Social Security number 231-54-8976).</w:t>
      </w:r>
    </w:p>
    <w:p w:rsidR="00393FCE" w:rsidRPr="00393FCE" w:rsidRDefault="00393FCE" w:rsidP="00393FCE">
      <w:pPr>
        <w:numPr>
          <w:ilvl w:val="1"/>
          <w:numId w:val="11"/>
        </w:numPr>
        <w:spacing w:after="60"/>
      </w:pPr>
      <w:r>
        <w:t>Frank</w:t>
      </w:r>
      <w:r w:rsidRPr="00393FCE">
        <w:t xml:space="preserve"> is the executive vice president and chief operating officer (Social Security number 798-56-3241).</w:t>
      </w:r>
    </w:p>
    <w:p w:rsidR="00393FCE" w:rsidRPr="00393FCE" w:rsidRDefault="00393FCE" w:rsidP="00393FCE">
      <w:pPr>
        <w:numPr>
          <w:ilvl w:val="1"/>
          <w:numId w:val="12"/>
        </w:numPr>
        <w:spacing w:after="60"/>
      </w:pPr>
      <w:r>
        <w:t>Connie</w:t>
      </w:r>
      <w:r w:rsidRPr="00393FCE">
        <w:t xml:space="preserve"> is the vice president of finance (Social Security number 879-21-4536).</w:t>
      </w:r>
    </w:p>
    <w:p w:rsidR="00393FCE" w:rsidRPr="00393FCE" w:rsidRDefault="00393FCE" w:rsidP="00393FCE">
      <w:pPr>
        <w:numPr>
          <w:ilvl w:val="0"/>
          <w:numId w:val="13"/>
        </w:numPr>
        <w:spacing w:after="60"/>
      </w:pPr>
      <w:r w:rsidRPr="00393FCE">
        <w:lastRenderedPageBreak/>
        <w:t>All officers devote 100 percent of their time to the business and all officers are U.S. citizens.</w:t>
      </w:r>
    </w:p>
    <w:p w:rsidR="00393FCE" w:rsidRPr="00393FCE" w:rsidRDefault="00393FCE" w:rsidP="00393FCE">
      <w:pPr>
        <w:numPr>
          <w:ilvl w:val="0"/>
          <w:numId w:val="14"/>
        </w:numPr>
        <w:spacing w:after="60"/>
      </w:pPr>
      <w:r>
        <w:t>CCS</w:t>
      </w:r>
      <w:r w:rsidRPr="00393FCE">
        <w:t xml:space="preserve"> uses the accrual method of accounting and has a calendar year-end.</w:t>
      </w:r>
    </w:p>
    <w:p w:rsidR="00393FCE" w:rsidRPr="00393FCE" w:rsidRDefault="00393FCE" w:rsidP="00393FCE">
      <w:pPr>
        <w:numPr>
          <w:ilvl w:val="0"/>
          <w:numId w:val="15"/>
        </w:numPr>
        <w:spacing w:after="60"/>
      </w:pPr>
      <w:r>
        <w:t>CCS</w:t>
      </w:r>
      <w:r w:rsidRPr="00393FCE">
        <w:t xml:space="preserve"> made four equal estimated tax payments of $20,000 each. Its tax liability last year was $70,000</w:t>
      </w:r>
      <w:r w:rsidR="00B60046">
        <w:t>, and last year’s return covered a full year</w:t>
      </w:r>
      <w:r w:rsidRPr="00393FCE">
        <w:t xml:space="preserve">. If it has overpaid its federal tax liability, </w:t>
      </w:r>
      <w:r>
        <w:t>CCS</w:t>
      </w:r>
      <w:r w:rsidRPr="00393FCE">
        <w:t xml:space="preserve"> would like to receive a refund.</w:t>
      </w:r>
    </w:p>
    <w:p w:rsidR="00393FCE" w:rsidRPr="00393FCE" w:rsidRDefault="00393FCE" w:rsidP="00393FCE">
      <w:pPr>
        <w:numPr>
          <w:ilvl w:val="0"/>
          <w:numId w:val="16"/>
        </w:numPr>
        <w:spacing w:after="60"/>
      </w:pPr>
      <w:r>
        <w:t>CCS</w:t>
      </w:r>
      <w:r w:rsidRPr="00393FCE">
        <w:t xml:space="preserve"> paid a dividend of $30,000 to its shareholders on November 1. </w:t>
      </w:r>
      <w:r>
        <w:t>CCS</w:t>
      </w:r>
      <w:r w:rsidRPr="00393FCE">
        <w:t xml:space="preserve"> had ample earnings and profits (E&amp;P) to absorb the distribution.</w:t>
      </w:r>
    </w:p>
    <w:p w:rsidR="00393FCE" w:rsidRDefault="00393FCE">
      <w:r>
        <w:br w:type="page"/>
      </w:r>
    </w:p>
    <w:p w:rsidR="00393FCE" w:rsidRPr="00393FCE" w:rsidRDefault="00393FCE" w:rsidP="00393FCE">
      <w:pPr>
        <w:spacing w:after="120"/>
      </w:pPr>
      <w:r w:rsidRPr="00393FCE">
        <w:lastRenderedPageBreak/>
        <w:t xml:space="preserve">The following is </w:t>
      </w:r>
      <w:r>
        <w:t>CCS</w:t>
      </w:r>
      <w:r w:rsidRPr="00393FCE">
        <w:t>'s a</w:t>
      </w:r>
      <w:r w:rsidR="00EE076C">
        <w:t>udited income statement</w:t>
      </w:r>
      <w:r w:rsidR="00B60046">
        <w:t>, prepared in accordance with GAAP,</w:t>
      </w:r>
      <w:r w:rsidR="00EE076C">
        <w:t xml:space="preserve"> for 2014</w:t>
      </w:r>
      <w:r w:rsidRPr="00393FCE"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0"/>
        <w:gridCol w:w="2221"/>
      </w:tblGrid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gridSpan w:val="2"/>
            <w:shd w:val="clear" w:color="auto" w:fill="2198BC"/>
            <w:tcMar>
              <w:top w:w="75" w:type="dxa"/>
              <w:left w:w="0" w:type="dxa"/>
              <w:bottom w:w="75" w:type="dxa"/>
              <w:right w:w="855" w:type="dxa"/>
            </w:tcMar>
            <w:vAlign w:val="bottom"/>
            <w:hideMark/>
          </w:tcPr>
          <w:p w:rsidR="00393FCE" w:rsidRPr="00393FCE" w:rsidRDefault="00393FCE" w:rsidP="00EE076C">
            <w:pPr>
              <w:ind w:right="-222"/>
              <w:rPr>
                <w:b/>
                <w:bCs/>
              </w:rPr>
            </w:pPr>
            <w:r>
              <w:rPr>
                <w:b/>
                <w:bCs/>
              </w:rPr>
              <w:t xml:space="preserve">CCS </w:t>
            </w:r>
            <w:r w:rsidRPr="00393FCE">
              <w:rPr>
                <w:b/>
                <w:bCs/>
              </w:rPr>
              <w:t>Income Statement</w:t>
            </w:r>
            <w:r>
              <w:rPr>
                <w:b/>
                <w:bCs/>
              </w:rPr>
              <w:t xml:space="preserve"> </w:t>
            </w:r>
            <w:r w:rsidRPr="00393FCE">
              <w:rPr>
                <w:b/>
                <w:bCs/>
              </w:rPr>
              <w:t>For year ending December 31, 201</w:t>
            </w:r>
            <w:r w:rsidR="00EE076C">
              <w:rPr>
                <w:b/>
                <w:bCs/>
              </w:rPr>
              <w:t>4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Revenue from sales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$</w:t>
            </w:r>
            <w:r w:rsidRPr="00393FCE">
              <w:t> </w:t>
            </w:r>
            <w:r w:rsidRPr="00393FCE">
              <w:t>1,800,000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Sales returns and allowances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(5,000)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Cost of goods sold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(350,000)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rPr>
                <w:b/>
                <w:bCs/>
              </w:rPr>
              <w:t>Gross profit from operations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$</w:t>
            </w:r>
            <w:r w:rsidRPr="00393FCE">
              <w:t> </w:t>
            </w:r>
            <w:r w:rsidRPr="00393FCE">
              <w:t>1,445,000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855" w:type="dxa"/>
            </w:tcMar>
            <w:vAlign w:val="bottom"/>
            <w:hideMark/>
          </w:tcPr>
          <w:p w:rsidR="00393FCE" w:rsidRPr="00393FCE" w:rsidRDefault="00393FCE" w:rsidP="00393FCE">
            <w:pPr>
              <w:jc w:val="both"/>
              <w:rPr>
                <w:b/>
                <w:bCs/>
              </w:rPr>
            </w:pPr>
            <w:r w:rsidRPr="00393FCE">
              <w:rPr>
                <w:b/>
                <w:bCs/>
              </w:rPr>
              <w:t>Other income: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855" w:type="dxa"/>
            </w:tcMar>
            <w:vAlign w:val="bottom"/>
            <w:hideMark/>
          </w:tcPr>
          <w:p w:rsidR="00393FCE" w:rsidRPr="00393FCE" w:rsidRDefault="00393FCE" w:rsidP="00393FCE">
            <w:pPr>
              <w:jc w:val="right"/>
              <w:rPr>
                <w:b/>
                <w:bCs/>
              </w:rPr>
            </w:pPr>
            <w:r w:rsidRPr="00393FCE">
              <w:rPr>
                <w:b/>
                <w:bCs/>
              </w:rPr>
              <w:t> 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Capital loss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(15,000)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Dividend income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25,000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Interest income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10,000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Gross income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$</w:t>
            </w:r>
            <w:r w:rsidRPr="00393FCE">
              <w:t> </w:t>
            </w:r>
            <w:r w:rsidRPr="00393FCE">
              <w:t>1,465,000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855" w:type="dxa"/>
            </w:tcMar>
            <w:vAlign w:val="bottom"/>
            <w:hideMark/>
          </w:tcPr>
          <w:p w:rsidR="00393FCE" w:rsidRPr="00393FCE" w:rsidRDefault="00393FCE" w:rsidP="00393FCE">
            <w:pPr>
              <w:jc w:val="both"/>
              <w:rPr>
                <w:b/>
                <w:bCs/>
              </w:rPr>
            </w:pPr>
            <w:r w:rsidRPr="00393FCE">
              <w:rPr>
                <w:b/>
                <w:bCs/>
              </w:rPr>
              <w:t>Expenses: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855" w:type="dxa"/>
            </w:tcMar>
            <w:vAlign w:val="bottom"/>
            <w:hideMark/>
          </w:tcPr>
          <w:p w:rsidR="00393FCE" w:rsidRPr="00393FCE" w:rsidRDefault="00393FCE" w:rsidP="00393FCE">
            <w:pPr>
              <w:jc w:val="right"/>
              <w:rPr>
                <w:b/>
                <w:bCs/>
              </w:rPr>
            </w:pPr>
            <w:r w:rsidRPr="00393FCE">
              <w:rPr>
                <w:b/>
                <w:bCs/>
              </w:rPr>
              <w:t> 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Compensation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(950,000)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Depreciation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(10,000)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Bad debt expense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(15,000)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Meals and entertainment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(3,000)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Maintenance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(6,000)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Property taxes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(11,000)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State income taxes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(45,000)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Other taxes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(44,000)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Rent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(60,000)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Interest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(5,000)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Advertising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(52,000)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Professional services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(16,000)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Employee benefits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(32,000)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Supplies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(5,000)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Other expenses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(27,000)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Total expenses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(1,281,000)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Income before taxes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184,000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Federal income tax expense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(62,000)</w:t>
            </w:r>
          </w:p>
        </w:tc>
      </w:tr>
      <w:tr w:rsidR="00393FCE" w:rsidRPr="00393FCE" w:rsidTr="00393FCE">
        <w:trPr>
          <w:trHeight w:hRule="exact" w:val="288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both"/>
            </w:pPr>
            <w:r w:rsidRPr="00393FCE">
              <w:t>Net income after taxes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hideMark/>
          </w:tcPr>
          <w:p w:rsidR="00393FCE" w:rsidRPr="00393FCE" w:rsidRDefault="00393FCE" w:rsidP="00393FCE">
            <w:pPr>
              <w:jc w:val="right"/>
            </w:pPr>
            <w:r w:rsidRPr="00393FCE">
              <w:t>$</w:t>
            </w:r>
            <w:r w:rsidRPr="00393FCE">
              <w:t> </w:t>
            </w:r>
            <w:r w:rsidRPr="00393FCE">
              <w:t xml:space="preserve"> 122,000</w:t>
            </w:r>
          </w:p>
        </w:tc>
      </w:tr>
    </w:tbl>
    <w:p w:rsidR="00393FCE" w:rsidRPr="00393FCE" w:rsidRDefault="00393FCE" w:rsidP="00393FCE">
      <w:pPr>
        <w:spacing w:before="240"/>
      </w:pPr>
      <w:r w:rsidRPr="00393FCE">
        <w:t>Notes:</w:t>
      </w:r>
    </w:p>
    <w:p w:rsidR="00393FCE" w:rsidRPr="00393FCE" w:rsidRDefault="00393FCE" w:rsidP="00393FCE">
      <w:pPr>
        <w:numPr>
          <w:ilvl w:val="0"/>
          <w:numId w:val="17"/>
        </w:numPr>
        <w:spacing w:after="120"/>
      </w:pPr>
      <w:r>
        <w:t>CCS</w:t>
      </w:r>
      <w:r w:rsidRPr="00393FCE">
        <w:t>'s inventory-related purchases during 201</w:t>
      </w:r>
      <w:r>
        <w:t>4</w:t>
      </w:r>
      <w:r w:rsidRPr="00393FCE">
        <w:t xml:space="preserve"> were $360,000. It values its inventory based on cost using the FIFO inventory cost flow method. Assume the rules of §263A do not apply to </w:t>
      </w:r>
      <w:r>
        <w:t>CCS</w:t>
      </w:r>
      <w:r w:rsidRPr="00393FCE">
        <w:t>.</w:t>
      </w:r>
    </w:p>
    <w:p w:rsidR="00393FCE" w:rsidRPr="00393FCE" w:rsidRDefault="00393FCE" w:rsidP="00393FCE">
      <w:pPr>
        <w:numPr>
          <w:ilvl w:val="0"/>
          <w:numId w:val="17"/>
        </w:numPr>
        <w:spacing w:after="120"/>
      </w:pPr>
      <w:r w:rsidRPr="00393FCE">
        <w:lastRenderedPageBreak/>
        <w:t>Of the $10,000 interest income, $1,250 was from a City of Irvine bond that was used to fund p</w:t>
      </w:r>
      <w:r>
        <w:t>ublic activities (issued in 2012</w:t>
      </w:r>
      <w:r w:rsidRPr="00393FCE">
        <w:t xml:space="preserve">), $1,750 was from an Oceanside city bond used to fund private </w:t>
      </w:r>
      <w:r>
        <w:t>activities (issued in 2005</w:t>
      </w:r>
      <w:r w:rsidRPr="00393FCE">
        <w:t>), $1,000 was from a U.S. Treasury bond, and the remaining $6,000 was from a money market account.</w:t>
      </w:r>
    </w:p>
    <w:p w:rsidR="00393FCE" w:rsidRPr="00393FCE" w:rsidRDefault="00393FCE" w:rsidP="00393FCE">
      <w:pPr>
        <w:numPr>
          <w:ilvl w:val="0"/>
          <w:numId w:val="17"/>
        </w:numPr>
        <w:spacing w:after="120"/>
      </w:pPr>
      <w:r>
        <w:t>CCS</w:t>
      </w:r>
      <w:r w:rsidRPr="00393FCE">
        <w:t xml:space="preserve">'s dividend income came from Clever Cakes Inc. (CC). </w:t>
      </w:r>
      <w:r>
        <w:t>CCS</w:t>
      </w:r>
      <w:r w:rsidRPr="00393FCE">
        <w:t xml:space="preserve"> owned 10,000 shares of the stock in Clever Cakes at the beginning of the year. This represented 10 percent of SSM outstanding stock.</w:t>
      </w:r>
    </w:p>
    <w:p w:rsidR="00393FCE" w:rsidRPr="00393FCE" w:rsidRDefault="00393FCE" w:rsidP="00393FCE">
      <w:pPr>
        <w:numPr>
          <w:ilvl w:val="0"/>
          <w:numId w:val="17"/>
        </w:numPr>
        <w:spacing w:after="120"/>
      </w:pPr>
      <w:r w:rsidRPr="00393FCE">
        <w:t>On Oct</w:t>
      </w:r>
      <w:r>
        <w:t>ober 1, 2014</w:t>
      </w:r>
      <w:r w:rsidRPr="00393FCE">
        <w:t xml:space="preserve">, </w:t>
      </w:r>
      <w:r>
        <w:t>CCS</w:t>
      </w:r>
      <w:r w:rsidRPr="00393FCE">
        <w:t xml:space="preserve"> sold 1,000 shares of its CC stock for $25,000. It had originally purchase</w:t>
      </w:r>
      <w:r>
        <w:t>d these shares on April 18, 2009</w:t>
      </w:r>
      <w:r w:rsidRPr="00393FCE">
        <w:t xml:space="preserve">, for $40,000. After the sale, </w:t>
      </w:r>
      <w:r>
        <w:t>CCS</w:t>
      </w:r>
      <w:r w:rsidRPr="00393FCE">
        <w:t xml:space="preserve"> owned 9 percent of CC.</w:t>
      </w:r>
    </w:p>
    <w:p w:rsidR="00393FCE" w:rsidRPr="00393FCE" w:rsidRDefault="00393FCE" w:rsidP="00393FCE">
      <w:pPr>
        <w:numPr>
          <w:ilvl w:val="0"/>
          <w:numId w:val="17"/>
        </w:numPr>
        <w:spacing w:after="120"/>
      </w:pPr>
      <w:r>
        <w:t>CCS</w:t>
      </w:r>
      <w:r w:rsidRPr="00393FCE">
        <w:t>'s compensation is as follows:</w:t>
      </w:r>
    </w:p>
    <w:p w:rsidR="00393FCE" w:rsidRPr="00393FCE" w:rsidRDefault="00B60046" w:rsidP="00393FCE">
      <w:pPr>
        <w:numPr>
          <w:ilvl w:val="1"/>
          <w:numId w:val="18"/>
        </w:numPr>
        <w:spacing w:after="120"/>
      </w:pPr>
      <w:r>
        <w:t>S</w:t>
      </w:r>
      <w:r w:rsidR="00393FCE" w:rsidRPr="00393FCE">
        <w:t>ara $150,000</w:t>
      </w:r>
    </w:p>
    <w:p w:rsidR="00393FCE" w:rsidRPr="00393FCE" w:rsidRDefault="00B60046" w:rsidP="00393FCE">
      <w:pPr>
        <w:numPr>
          <w:ilvl w:val="1"/>
          <w:numId w:val="19"/>
        </w:numPr>
        <w:spacing w:after="120"/>
      </w:pPr>
      <w:r>
        <w:t>Frank</w:t>
      </w:r>
      <w:r w:rsidR="00393FCE" w:rsidRPr="00393FCE">
        <w:t xml:space="preserve"> $140,000</w:t>
      </w:r>
    </w:p>
    <w:p w:rsidR="00393FCE" w:rsidRPr="00393FCE" w:rsidRDefault="00B60046" w:rsidP="00393FCE">
      <w:pPr>
        <w:numPr>
          <w:ilvl w:val="1"/>
          <w:numId w:val="20"/>
        </w:numPr>
        <w:spacing w:after="120"/>
      </w:pPr>
      <w:r>
        <w:t>Connie</w:t>
      </w:r>
      <w:r w:rsidR="00393FCE" w:rsidRPr="00393FCE">
        <w:t xml:space="preserve"> $130,000</w:t>
      </w:r>
    </w:p>
    <w:p w:rsidR="00393FCE" w:rsidRPr="00393FCE" w:rsidRDefault="00393FCE" w:rsidP="00393FCE">
      <w:pPr>
        <w:numPr>
          <w:ilvl w:val="1"/>
          <w:numId w:val="21"/>
        </w:numPr>
        <w:spacing w:after="120"/>
      </w:pPr>
      <w:r w:rsidRPr="00393FCE">
        <w:t>Other $530,000</w:t>
      </w:r>
    </w:p>
    <w:p w:rsidR="00393FCE" w:rsidRPr="00393FCE" w:rsidRDefault="00393FCE" w:rsidP="00393FCE">
      <w:pPr>
        <w:numPr>
          <w:ilvl w:val="0"/>
          <w:numId w:val="21"/>
        </w:numPr>
        <w:spacing w:after="120"/>
      </w:pPr>
      <w:r>
        <w:t>CCS</w:t>
      </w:r>
      <w:r w:rsidRPr="00393FCE">
        <w:t xml:space="preserve"> wrote off $25,000 in accounts receivable as uncollectible during the year.</w:t>
      </w:r>
    </w:p>
    <w:p w:rsidR="00393FCE" w:rsidRPr="00393FCE" w:rsidRDefault="00393FCE" w:rsidP="00393FCE">
      <w:pPr>
        <w:numPr>
          <w:ilvl w:val="0"/>
          <w:numId w:val="21"/>
        </w:numPr>
        <w:spacing w:after="120"/>
      </w:pPr>
      <w:r>
        <w:t>CCS</w:t>
      </w:r>
      <w:r w:rsidRPr="00393FCE">
        <w:t>'s regular tax depreciation was $28,000. None of the depreciation should be claimed on Form 1125A</w:t>
      </w:r>
      <w:r>
        <w:t xml:space="preserve"> (cost of goods sold)</w:t>
      </w:r>
      <w:r w:rsidRPr="00393FCE">
        <w:t>.</w:t>
      </w:r>
    </w:p>
    <w:p w:rsidR="00393FCE" w:rsidRPr="00393FCE" w:rsidRDefault="00393FCE" w:rsidP="00393FCE">
      <w:pPr>
        <w:numPr>
          <w:ilvl w:val="0"/>
          <w:numId w:val="21"/>
        </w:numPr>
        <w:spacing w:after="120"/>
      </w:pPr>
      <w:r w:rsidRPr="00393FCE">
        <w:t xml:space="preserve">The $5,000 interest expense was from a </w:t>
      </w:r>
      <w:r w:rsidR="00B60046">
        <w:t xml:space="preserve">bona fide </w:t>
      </w:r>
      <w:r w:rsidRPr="00393FCE">
        <w:t>business loan.</w:t>
      </w:r>
    </w:p>
    <w:p w:rsidR="00393FCE" w:rsidRPr="00393FCE" w:rsidRDefault="00393FCE" w:rsidP="00393FCE">
      <w:pPr>
        <w:numPr>
          <w:ilvl w:val="0"/>
          <w:numId w:val="21"/>
        </w:numPr>
        <w:spacing w:after="120"/>
      </w:pPr>
      <w:r w:rsidRPr="00393FCE">
        <w:t>Other expenses include $6,000 for premiums paid on term lif</w:t>
      </w:r>
      <w:r>
        <w:t>e insurance policies for which C</w:t>
      </w:r>
      <w:r w:rsidRPr="00393FCE">
        <w:t>CS is the beneficiary. T</w:t>
      </w:r>
      <w:r>
        <w:t>he policies cover the lives of Sara, Frank, and Connie</w:t>
      </w:r>
      <w:r w:rsidRPr="00393FCE">
        <w:t>.</w:t>
      </w:r>
    </w:p>
    <w:p w:rsidR="00393FCE" w:rsidRDefault="00393FCE">
      <w:r>
        <w:br w:type="page"/>
      </w:r>
    </w:p>
    <w:p w:rsidR="00393FCE" w:rsidRPr="00393FCE" w:rsidRDefault="00393FCE" w:rsidP="00EE076C">
      <w:pPr>
        <w:spacing w:after="120"/>
      </w:pPr>
      <w:r w:rsidRPr="00393FCE">
        <w:lastRenderedPageBreak/>
        <w:t xml:space="preserve">The following are </w:t>
      </w:r>
      <w:r>
        <w:t>CCS</w:t>
      </w:r>
      <w:r w:rsidRPr="00393FCE">
        <w:t>'s audited balance sheets as of January 1, 201</w:t>
      </w:r>
      <w:r>
        <w:t>4</w:t>
      </w:r>
      <w:r w:rsidRPr="00393FCE">
        <w:t>, and December 31, 201</w:t>
      </w:r>
      <w:r>
        <w:t>4</w:t>
      </w:r>
      <w:r w:rsidRPr="00393FCE"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1429"/>
        <w:gridCol w:w="1545"/>
        <w:gridCol w:w="6"/>
      </w:tblGrid>
      <w:tr w:rsidR="00393FCE" w:rsidRPr="00393FCE" w:rsidTr="00393FCE">
        <w:trPr>
          <w:tblCellSpacing w:w="0" w:type="dxa"/>
        </w:trPr>
        <w:tc>
          <w:tcPr>
            <w:tcW w:w="0" w:type="auto"/>
            <w:shd w:val="clear" w:color="auto" w:fill="2198BC"/>
            <w:tcMar>
              <w:top w:w="75" w:type="dxa"/>
              <w:left w:w="0" w:type="dxa"/>
              <w:bottom w:w="75" w:type="dxa"/>
              <w:right w:w="855" w:type="dxa"/>
            </w:tcMar>
            <w:vAlign w:val="bottom"/>
            <w:hideMark/>
          </w:tcPr>
          <w:p w:rsidR="00393FCE" w:rsidRPr="00393FCE" w:rsidRDefault="00393FCE" w:rsidP="00393FCE">
            <w:pPr>
              <w:rPr>
                <w:b/>
                <w:bCs/>
              </w:rPr>
            </w:pPr>
            <w:r w:rsidRPr="00393FCE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shd w:val="clear" w:color="auto" w:fill="2198BC"/>
            <w:tcMar>
              <w:top w:w="75" w:type="dxa"/>
              <w:left w:w="0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680"/>
              <w:jc w:val="center"/>
              <w:rPr>
                <w:b/>
                <w:bCs/>
              </w:rPr>
            </w:pPr>
            <w:r w:rsidRPr="00393FCE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</w:p>
        </w:tc>
      </w:tr>
      <w:tr w:rsidR="00393FCE" w:rsidRPr="00393FCE" w:rsidTr="00393FCE">
        <w:trPr>
          <w:tblCellSpacing w:w="0" w:type="dxa"/>
        </w:trPr>
        <w:tc>
          <w:tcPr>
            <w:tcW w:w="0" w:type="auto"/>
            <w:shd w:val="clear" w:color="auto" w:fill="2198BC"/>
            <w:tcMar>
              <w:top w:w="30" w:type="dxa"/>
              <w:left w:w="0" w:type="dxa"/>
              <w:bottom w:w="75" w:type="dxa"/>
              <w:right w:w="855" w:type="dxa"/>
            </w:tcMar>
            <w:vAlign w:val="bottom"/>
            <w:hideMark/>
          </w:tcPr>
          <w:p w:rsidR="00393FCE" w:rsidRPr="00393FCE" w:rsidRDefault="00393FCE" w:rsidP="00393FCE">
            <w:pPr>
              <w:rPr>
                <w:b/>
                <w:bCs/>
              </w:rPr>
            </w:pPr>
            <w:r w:rsidRPr="00393FCE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2198BC"/>
            <w:tcMar>
              <w:top w:w="30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77"/>
              <w:jc w:val="center"/>
              <w:rPr>
                <w:b/>
                <w:bCs/>
              </w:rPr>
            </w:pPr>
            <w:r w:rsidRPr="00393FCE">
              <w:rPr>
                <w:b/>
                <w:bCs/>
              </w:rPr>
              <w:t>January 1</w:t>
            </w:r>
          </w:p>
        </w:tc>
        <w:tc>
          <w:tcPr>
            <w:tcW w:w="0" w:type="auto"/>
            <w:shd w:val="clear" w:color="auto" w:fill="2198BC"/>
            <w:tcMar>
              <w:top w:w="30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96"/>
              <w:jc w:val="center"/>
              <w:rPr>
                <w:b/>
                <w:bCs/>
              </w:rPr>
            </w:pPr>
            <w:r w:rsidRPr="00393FCE">
              <w:rPr>
                <w:b/>
                <w:bCs/>
              </w:rPr>
              <w:t>December 31</w:t>
            </w:r>
          </w:p>
        </w:tc>
        <w:tc>
          <w:tcPr>
            <w:tcW w:w="0" w:type="auto"/>
            <w:vAlign w:val="center"/>
            <w:hideMark/>
          </w:tcPr>
          <w:p w:rsidR="00393FCE" w:rsidRPr="00393FCE" w:rsidRDefault="00393FCE" w:rsidP="00393FCE"/>
        </w:tc>
      </w:tr>
      <w:tr w:rsidR="00393FCE" w:rsidRPr="00393FCE" w:rsidTr="00393FC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393FCE">
            <w:pPr>
              <w:rPr>
                <w:b/>
                <w:bCs/>
              </w:rPr>
            </w:pPr>
            <w:r w:rsidRPr="00393FCE">
              <w:rPr>
                <w:b/>
                <w:bCs/>
              </w:rPr>
              <w:t>Assets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855" w:type="dxa"/>
            </w:tcMar>
            <w:vAlign w:val="bottom"/>
            <w:hideMark/>
          </w:tcPr>
          <w:p w:rsidR="00393FCE" w:rsidRPr="00393FCE" w:rsidRDefault="00393FCE" w:rsidP="00EE076C">
            <w:pPr>
              <w:ind w:right="-577"/>
              <w:rPr>
                <w:b/>
                <w:bCs/>
              </w:rPr>
            </w:pPr>
            <w:r w:rsidRPr="00393FC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855" w:type="dxa"/>
            </w:tcMar>
            <w:vAlign w:val="bottom"/>
            <w:hideMark/>
          </w:tcPr>
          <w:p w:rsidR="00393FCE" w:rsidRPr="00393FCE" w:rsidRDefault="00393FCE" w:rsidP="00EE076C">
            <w:pPr>
              <w:ind w:right="-596"/>
              <w:rPr>
                <w:b/>
                <w:bCs/>
              </w:rPr>
            </w:pPr>
            <w:r w:rsidRPr="00393FCE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FCE" w:rsidRPr="00393FCE" w:rsidRDefault="00393FCE" w:rsidP="00393FCE"/>
        </w:tc>
      </w:tr>
      <w:tr w:rsidR="00393FCE" w:rsidRPr="00393FCE" w:rsidTr="00393FC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393FCE">
            <w:r w:rsidRPr="00393FCE">
              <w:t>Cash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77"/>
              <w:jc w:val="right"/>
            </w:pPr>
            <w:r w:rsidRPr="00393FCE">
              <w:t>$</w:t>
            </w:r>
            <w:r w:rsidRPr="00393FCE">
              <w:t> </w:t>
            </w:r>
            <w:r w:rsidRPr="00393FCE">
              <w:t>180,000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96"/>
              <w:jc w:val="right"/>
            </w:pPr>
            <w:r w:rsidRPr="00393FCE">
              <w:t>$</w:t>
            </w:r>
            <w:r w:rsidRPr="00393FCE">
              <w:t> </w:t>
            </w:r>
            <w:r w:rsidRPr="00393FCE">
              <w:t>205,000</w:t>
            </w:r>
          </w:p>
        </w:tc>
        <w:tc>
          <w:tcPr>
            <w:tcW w:w="0" w:type="auto"/>
            <w:vAlign w:val="center"/>
            <w:hideMark/>
          </w:tcPr>
          <w:p w:rsidR="00393FCE" w:rsidRPr="00393FCE" w:rsidRDefault="00393FCE" w:rsidP="00393FCE"/>
        </w:tc>
      </w:tr>
      <w:tr w:rsidR="00393FCE" w:rsidRPr="00393FCE" w:rsidTr="00393FC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393FCE">
            <w:r w:rsidRPr="00393FCE">
              <w:t>Accounts receivable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77"/>
              <w:jc w:val="right"/>
            </w:pPr>
            <w:r w:rsidRPr="00393FCE">
              <w:t> </w:t>
            </w:r>
            <w:r w:rsidRPr="00393FCE">
              <w:t>560,000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96"/>
              <w:jc w:val="right"/>
            </w:pPr>
            <w:r w:rsidRPr="00393FCE">
              <w:t> </w:t>
            </w:r>
            <w:r w:rsidRPr="00393FCE">
              <w:t>580,000</w:t>
            </w:r>
          </w:p>
        </w:tc>
        <w:tc>
          <w:tcPr>
            <w:tcW w:w="0" w:type="auto"/>
            <w:vAlign w:val="center"/>
            <w:hideMark/>
          </w:tcPr>
          <w:p w:rsidR="00393FCE" w:rsidRPr="00393FCE" w:rsidRDefault="00393FCE" w:rsidP="00393FCE"/>
        </w:tc>
      </w:tr>
      <w:tr w:rsidR="00393FCE" w:rsidRPr="00393FCE" w:rsidTr="00393FC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393FCE">
            <w:r w:rsidRPr="00393FCE">
              <w:t>Allowance for doubtful accounts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77"/>
              <w:jc w:val="right"/>
            </w:pPr>
            <w:r w:rsidRPr="00393FCE">
              <w:t> </w:t>
            </w:r>
            <w:r w:rsidRPr="00393FCE">
              <w:t> </w:t>
            </w:r>
            <w:r w:rsidRPr="00393FCE">
              <w:t>(60,000)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96"/>
              <w:jc w:val="right"/>
            </w:pPr>
            <w:r w:rsidRPr="00393FCE">
              <w:t> </w:t>
            </w:r>
            <w:r w:rsidRPr="00393FCE">
              <w:t> </w:t>
            </w:r>
            <w:r w:rsidRPr="00393FCE">
              <w:t>(50,000)</w:t>
            </w:r>
          </w:p>
        </w:tc>
        <w:tc>
          <w:tcPr>
            <w:tcW w:w="0" w:type="auto"/>
            <w:vAlign w:val="center"/>
            <w:hideMark/>
          </w:tcPr>
          <w:p w:rsidR="00393FCE" w:rsidRPr="00393FCE" w:rsidRDefault="00393FCE" w:rsidP="00393FCE"/>
        </w:tc>
      </w:tr>
      <w:tr w:rsidR="00393FCE" w:rsidRPr="00393FCE" w:rsidTr="00393FC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393FCE">
            <w:r w:rsidRPr="00393FCE">
              <w:t>Inventory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77"/>
              <w:jc w:val="right"/>
            </w:pPr>
            <w:r w:rsidRPr="00393FCE">
              <w:t> </w:t>
            </w:r>
            <w:r w:rsidRPr="00393FCE">
              <w:t>140,000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96"/>
              <w:jc w:val="right"/>
            </w:pPr>
            <w:r w:rsidRPr="00393FCE">
              <w:t> </w:t>
            </w:r>
            <w:r w:rsidRPr="00393FCE">
              <w:t>150,000</w:t>
            </w:r>
          </w:p>
        </w:tc>
        <w:tc>
          <w:tcPr>
            <w:tcW w:w="0" w:type="auto"/>
            <w:vAlign w:val="center"/>
            <w:hideMark/>
          </w:tcPr>
          <w:p w:rsidR="00393FCE" w:rsidRPr="00393FCE" w:rsidRDefault="00393FCE" w:rsidP="00393FCE"/>
        </w:tc>
      </w:tr>
      <w:tr w:rsidR="00393FCE" w:rsidRPr="00393FCE" w:rsidTr="00393FC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393FCE">
            <w:r w:rsidRPr="00393FCE">
              <w:t>U.S. government bonds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77"/>
              <w:jc w:val="right"/>
            </w:pPr>
            <w:r w:rsidRPr="00393FCE">
              <w:t> </w:t>
            </w:r>
            <w:r w:rsidRPr="00393FCE">
              <w:t> </w:t>
            </w:r>
            <w:r w:rsidRPr="00393FCE">
              <w:t>20,000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96"/>
              <w:jc w:val="right"/>
            </w:pPr>
            <w:r w:rsidRPr="00393FCE">
              <w:t> </w:t>
            </w:r>
            <w:r w:rsidRPr="00393FCE">
              <w:t> </w:t>
            </w:r>
            <w:r w:rsidRPr="00393FCE">
              <w:t>20,000</w:t>
            </w:r>
          </w:p>
        </w:tc>
        <w:tc>
          <w:tcPr>
            <w:tcW w:w="0" w:type="auto"/>
            <w:vAlign w:val="center"/>
            <w:hideMark/>
          </w:tcPr>
          <w:p w:rsidR="00393FCE" w:rsidRPr="00393FCE" w:rsidRDefault="00393FCE" w:rsidP="00393FCE"/>
        </w:tc>
      </w:tr>
      <w:tr w:rsidR="00393FCE" w:rsidRPr="00393FCE" w:rsidTr="00393FC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393FCE">
            <w:r w:rsidRPr="00393FCE">
              <w:t>State and local bonds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77"/>
              <w:jc w:val="right"/>
            </w:pPr>
            <w:r w:rsidRPr="00393FCE">
              <w:t> </w:t>
            </w:r>
            <w:r w:rsidRPr="00393FCE">
              <w:t>120,000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96"/>
              <w:jc w:val="right"/>
            </w:pPr>
            <w:r w:rsidRPr="00393FCE">
              <w:t> </w:t>
            </w:r>
            <w:r w:rsidRPr="00393FCE">
              <w:t>120,000</w:t>
            </w:r>
          </w:p>
        </w:tc>
        <w:tc>
          <w:tcPr>
            <w:tcW w:w="0" w:type="auto"/>
            <w:vAlign w:val="center"/>
            <w:hideMark/>
          </w:tcPr>
          <w:p w:rsidR="00393FCE" w:rsidRPr="00393FCE" w:rsidRDefault="00393FCE" w:rsidP="00393FCE"/>
        </w:tc>
      </w:tr>
      <w:tr w:rsidR="00393FCE" w:rsidRPr="00393FCE" w:rsidTr="00393FC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393FCE">
            <w:r w:rsidRPr="00393FCE">
              <w:t>Investments in stock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77"/>
              <w:jc w:val="right"/>
            </w:pPr>
            <w:r w:rsidRPr="00393FCE">
              <w:t> </w:t>
            </w:r>
            <w:r w:rsidRPr="00393FCE">
              <w:t>400,000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96"/>
              <w:jc w:val="right"/>
            </w:pPr>
            <w:r w:rsidRPr="00393FCE">
              <w:t> </w:t>
            </w:r>
            <w:r w:rsidRPr="00393FCE">
              <w:t>360,000</w:t>
            </w:r>
          </w:p>
        </w:tc>
        <w:tc>
          <w:tcPr>
            <w:tcW w:w="0" w:type="auto"/>
            <w:vAlign w:val="center"/>
            <w:hideMark/>
          </w:tcPr>
          <w:p w:rsidR="00393FCE" w:rsidRPr="00393FCE" w:rsidRDefault="00393FCE" w:rsidP="00393FCE"/>
        </w:tc>
      </w:tr>
      <w:tr w:rsidR="00393FCE" w:rsidRPr="00393FCE" w:rsidTr="00393FC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393FCE">
            <w:r w:rsidRPr="00393FCE">
              <w:t>Fixed assets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77"/>
              <w:jc w:val="right"/>
            </w:pPr>
            <w:r w:rsidRPr="00393FCE">
              <w:t> </w:t>
            </w:r>
            <w:r w:rsidRPr="00393FCE">
              <w:t>140,000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96"/>
              <w:jc w:val="right"/>
            </w:pPr>
            <w:r w:rsidRPr="00393FCE">
              <w:t> </w:t>
            </w:r>
            <w:r w:rsidRPr="00393FCE">
              <w:t>160,000</w:t>
            </w:r>
          </w:p>
        </w:tc>
        <w:tc>
          <w:tcPr>
            <w:tcW w:w="0" w:type="auto"/>
            <w:vAlign w:val="center"/>
            <w:hideMark/>
          </w:tcPr>
          <w:p w:rsidR="00393FCE" w:rsidRPr="00393FCE" w:rsidRDefault="00393FCE" w:rsidP="00393FCE"/>
        </w:tc>
      </w:tr>
      <w:tr w:rsidR="00393FCE" w:rsidRPr="00393FCE" w:rsidTr="00393FC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393FCE">
            <w:r w:rsidRPr="00393FCE">
              <w:t>Accumulated depreciation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77"/>
              <w:jc w:val="right"/>
            </w:pPr>
            <w:r w:rsidRPr="00393FCE">
              <w:t> </w:t>
            </w:r>
            <w:r w:rsidRPr="00393FCE">
              <w:t> </w:t>
            </w:r>
            <w:r w:rsidRPr="00393FCE">
              <w:t>(50,000)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96"/>
              <w:jc w:val="right"/>
            </w:pPr>
            <w:r w:rsidRPr="00393FCE">
              <w:t> </w:t>
            </w:r>
            <w:r w:rsidRPr="00393FCE">
              <w:t> </w:t>
            </w:r>
            <w:r w:rsidRPr="00393FCE">
              <w:t>(60,000)</w:t>
            </w:r>
          </w:p>
        </w:tc>
        <w:tc>
          <w:tcPr>
            <w:tcW w:w="0" w:type="auto"/>
            <w:vAlign w:val="center"/>
            <w:hideMark/>
          </w:tcPr>
          <w:p w:rsidR="00393FCE" w:rsidRPr="00393FCE" w:rsidRDefault="00393FCE" w:rsidP="00393FCE"/>
        </w:tc>
      </w:tr>
      <w:tr w:rsidR="00393FCE" w:rsidRPr="00393FCE" w:rsidTr="00393FC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393FCE">
            <w:r w:rsidRPr="00393FCE">
              <w:t>Other assets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77"/>
              <w:jc w:val="right"/>
            </w:pPr>
            <w:r w:rsidRPr="00393FCE">
              <w:t> </w:t>
            </w:r>
            <w:r w:rsidRPr="00393FCE">
              <w:t> </w:t>
            </w:r>
            <w:r w:rsidRPr="00393FCE">
              <w:t>20,000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96"/>
              <w:jc w:val="right"/>
            </w:pPr>
            <w:r w:rsidRPr="00393FCE">
              <w:t> </w:t>
            </w:r>
            <w:r w:rsidRPr="00393FCE">
              <w:t> </w:t>
            </w:r>
            <w:r w:rsidRPr="00393FCE">
              <w:t>21,000</w:t>
            </w:r>
          </w:p>
        </w:tc>
        <w:tc>
          <w:tcPr>
            <w:tcW w:w="0" w:type="auto"/>
            <w:vAlign w:val="center"/>
            <w:hideMark/>
          </w:tcPr>
          <w:p w:rsidR="00393FCE" w:rsidRPr="00393FCE" w:rsidRDefault="00393FCE" w:rsidP="00393FCE"/>
        </w:tc>
      </w:tr>
      <w:tr w:rsidR="00393FCE" w:rsidRPr="00393FCE" w:rsidTr="00393FC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393FCE">
            <w:r w:rsidRPr="00393FCE">
              <w:t>Total assets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77"/>
              <w:jc w:val="right"/>
            </w:pPr>
            <w:r w:rsidRPr="00393FCE">
              <w:t>$1,470,000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96"/>
              <w:jc w:val="right"/>
            </w:pPr>
            <w:r w:rsidRPr="00393FCE">
              <w:t>$1,506,000</w:t>
            </w:r>
          </w:p>
        </w:tc>
        <w:tc>
          <w:tcPr>
            <w:tcW w:w="0" w:type="auto"/>
            <w:vAlign w:val="center"/>
            <w:hideMark/>
          </w:tcPr>
          <w:p w:rsidR="00393FCE" w:rsidRPr="00393FCE" w:rsidRDefault="00393FCE" w:rsidP="00393FCE"/>
        </w:tc>
      </w:tr>
      <w:tr w:rsidR="00393FCE" w:rsidRPr="00393FCE" w:rsidTr="00393FCE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96"/>
              <w:rPr>
                <w:b/>
                <w:bCs/>
              </w:rPr>
            </w:pPr>
            <w:r w:rsidRPr="00393FCE">
              <w:rPr>
                <w:b/>
                <w:bCs/>
              </w:rPr>
              <w:t>Liabilities and Shareholders' Equity</w:t>
            </w:r>
          </w:p>
        </w:tc>
        <w:tc>
          <w:tcPr>
            <w:tcW w:w="0" w:type="auto"/>
            <w:vAlign w:val="center"/>
            <w:hideMark/>
          </w:tcPr>
          <w:p w:rsidR="00393FCE" w:rsidRPr="00393FCE" w:rsidRDefault="00393FCE" w:rsidP="00393FCE"/>
        </w:tc>
      </w:tr>
      <w:tr w:rsidR="00393FCE" w:rsidRPr="00393FCE" w:rsidTr="00393FC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393FCE">
            <w:r w:rsidRPr="00393FCE">
              <w:t>Accounts payable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77"/>
              <w:jc w:val="right"/>
            </w:pPr>
            <w:r w:rsidRPr="00393FCE">
              <w:t> </w:t>
            </w:r>
            <w:r w:rsidRPr="00393FCE">
              <w:t>280,000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96"/>
              <w:jc w:val="right"/>
            </w:pPr>
            <w:r w:rsidRPr="00393FCE">
              <w:t> </w:t>
            </w:r>
            <w:r w:rsidRPr="00393FCE">
              <w:t>240,000</w:t>
            </w:r>
          </w:p>
        </w:tc>
        <w:tc>
          <w:tcPr>
            <w:tcW w:w="0" w:type="auto"/>
            <w:vAlign w:val="center"/>
            <w:hideMark/>
          </w:tcPr>
          <w:p w:rsidR="00393FCE" w:rsidRPr="00393FCE" w:rsidRDefault="00393FCE" w:rsidP="00393FCE"/>
        </w:tc>
      </w:tr>
      <w:tr w:rsidR="00393FCE" w:rsidRPr="00393FCE" w:rsidTr="00393FC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393FCE">
            <w:r w:rsidRPr="00393FCE">
              <w:t>Other current liabilities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77"/>
              <w:jc w:val="right"/>
            </w:pPr>
            <w:r w:rsidRPr="00393FCE">
              <w:t> </w:t>
            </w:r>
            <w:r w:rsidRPr="00393FCE">
              <w:t> </w:t>
            </w:r>
            <w:r w:rsidRPr="00393FCE">
              <w:t>20,000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96"/>
              <w:jc w:val="right"/>
            </w:pPr>
            <w:r w:rsidRPr="00393FCE">
              <w:t> </w:t>
            </w:r>
            <w:r w:rsidRPr="00393FCE">
              <w:t> </w:t>
            </w:r>
            <w:r w:rsidRPr="00393FCE">
              <w:t>18,000</w:t>
            </w:r>
          </w:p>
        </w:tc>
        <w:tc>
          <w:tcPr>
            <w:tcW w:w="0" w:type="auto"/>
            <w:vAlign w:val="center"/>
            <w:hideMark/>
          </w:tcPr>
          <w:p w:rsidR="00393FCE" w:rsidRPr="00393FCE" w:rsidRDefault="00393FCE" w:rsidP="00393FCE"/>
        </w:tc>
      </w:tr>
      <w:tr w:rsidR="00393FCE" w:rsidRPr="00393FCE" w:rsidTr="00393FC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393FCE">
            <w:r w:rsidRPr="00393FCE">
              <w:t>Other liabilities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77"/>
              <w:jc w:val="right"/>
            </w:pPr>
            <w:r w:rsidRPr="00393FCE">
              <w:t> </w:t>
            </w:r>
            <w:r w:rsidRPr="00393FCE">
              <w:t> </w:t>
            </w:r>
            <w:r w:rsidRPr="00393FCE">
              <w:t>40,000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96"/>
              <w:jc w:val="right"/>
            </w:pPr>
            <w:r w:rsidRPr="00393FCE">
              <w:t> </w:t>
            </w:r>
            <w:r w:rsidRPr="00393FCE">
              <w:t> </w:t>
            </w:r>
            <w:r w:rsidRPr="00393FCE">
              <w:t>26,000</w:t>
            </w:r>
          </w:p>
        </w:tc>
        <w:tc>
          <w:tcPr>
            <w:tcW w:w="0" w:type="auto"/>
            <w:vAlign w:val="center"/>
            <w:hideMark/>
          </w:tcPr>
          <w:p w:rsidR="00393FCE" w:rsidRPr="00393FCE" w:rsidRDefault="00393FCE" w:rsidP="00393FCE"/>
        </w:tc>
      </w:tr>
      <w:tr w:rsidR="00393FCE" w:rsidRPr="00393FCE" w:rsidTr="00393FC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393FCE">
            <w:r w:rsidRPr="00393FCE">
              <w:t>Capital stock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77"/>
              <w:jc w:val="right"/>
            </w:pPr>
            <w:r w:rsidRPr="00393FCE">
              <w:t> </w:t>
            </w:r>
            <w:r w:rsidRPr="00393FCE">
              <w:t>400,000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96"/>
              <w:jc w:val="right"/>
            </w:pPr>
            <w:r w:rsidRPr="00393FCE">
              <w:t> </w:t>
            </w:r>
            <w:r w:rsidRPr="00393FCE">
              <w:t>400,000</w:t>
            </w:r>
          </w:p>
        </w:tc>
        <w:tc>
          <w:tcPr>
            <w:tcW w:w="0" w:type="auto"/>
            <w:vAlign w:val="center"/>
            <w:hideMark/>
          </w:tcPr>
          <w:p w:rsidR="00393FCE" w:rsidRPr="00393FCE" w:rsidRDefault="00393FCE" w:rsidP="00393FCE"/>
        </w:tc>
      </w:tr>
      <w:tr w:rsidR="00393FCE" w:rsidRPr="00393FCE" w:rsidTr="00393FC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393FCE">
            <w:r w:rsidRPr="00393FCE">
              <w:t>Retained earnings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77"/>
              <w:jc w:val="right"/>
            </w:pPr>
            <w:r w:rsidRPr="00393FCE">
              <w:t> </w:t>
            </w:r>
            <w:r w:rsidRPr="00393FCE">
              <w:t>730,000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96"/>
              <w:jc w:val="right"/>
            </w:pPr>
            <w:r w:rsidRPr="00393FCE">
              <w:t> </w:t>
            </w:r>
            <w:r w:rsidRPr="00393FCE">
              <w:t>822,000</w:t>
            </w:r>
          </w:p>
        </w:tc>
        <w:tc>
          <w:tcPr>
            <w:tcW w:w="0" w:type="auto"/>
            <w:vAlign w:val="center"/>
            <w:hideMark/>
          </w:tcPr>
          <w:p w:rsidR="00393FCE" w:rsidRPr="00393FCE" w:rsidRDefault="00393FCE" w:rsidP="00393FCE"/>
        </w:tc>
      </w:tr>
      <w:tr w:rsidR="00393FCE" w:rsidRPr="00393FCE" w:rsidTr="00393FC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393FCE">
            <w:r w:rsidRPr="00393FCE">
              <w:t>Total liabilities and shareholders' equity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77"/>
              <w:jc w:val="right"/>
            </w:pPr>
            <w:r w:rsidRPr="00393FCE">
              <w:t>$1,470,000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855" w:type="dxa"/>
            </w:tcMar>
            <w:vAlign w:val="center"/>
            <w:hideMark/>
          </w:tcPr>
          <w:p w:rsidR="00393FCE" w:rsidRPr="00393FCE" w:rsidRDefault="00393FCE" w:rsidP="00EE076C">
            <w:pPr>
              <w:ind w:right="-596"/>
              <w:jc w:val="right"/>
            </w:pPr>
            <w:r w:rsidRPr="00393FCE">
              <w:t>$1,506,000</w:t>
            </w:r>
          </w:p>
        </w:tc>
        <w:tc>
          <w:tcPr>
            <w:tcW w:w="0" w:type="auto"/>
            <w:vAlign w:val="center"/>
            <w:hideMark/>
          </w:tcPr>
          <w:p w:rsidR="00393FCE" w:rsidRPr="00393FCE" w:rsidRDefault="00393FCE" w:rsidP="00393FCE"/>
        </w:tc>
      </w:tr>
    </w:tbl>
    <w:p w:rsidR="00552CCF" w:rsidRDefault="00552CCF"/>
    <w:sectPr w:rsidR="00552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529"/>
    <w:multiLevelType w:val="multilevel"/>
    <w:tmpl w:val="A5EE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C6F5A"/>
    <w:multiLevelType w:val="multilevel"/>
    <w:tmpl w:val="188C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348A5"/>
    <w:multiLevelType w:val="multilevel"/>
    <w:tmpl w:val="4F5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3740F"/>
    <w:multiLevelType w:val="multilevel"/>
    <w:tmpl w:val="6C08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22CCD"/>
    <w:multiLevelType w:val="hybridMultilevel"/>
    <w:tmpl w:val="04349DA4"/>
    <w:lvl w:ilvl="0" w:tplc="16A87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98EC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C38B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E82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984F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A8C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944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9449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68B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A759D"/>
    <w:multiLevelType w:val="multilevel"/>
    <w:tmpl w:val="4B8A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70CA0"/>
    <w:multiLevelType w:val="hybridMultilevel"/>
    <w:tmpl w:val="0A2454F6"/>
    <w:lvl w:ilvl="0" w:tplc="B1105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D6A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A10E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00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06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AF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C8A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E45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85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2"/>
    </w:lvlOverride>
  </w:num>
  <w:num w:numId="8">
    <w:abstractNumId w:val="3"/>
    <w:lvlOverride w:ilvl="0">
      <w:startOverride w:val="3"/>
    </w:lvlOverride>
  </w:num>
  <w:num w:numId="9">
    <w:abstractNumId w:val="3"/>
    <w:lvlOverride w:ilvl="0">
      <w:startOverride w:val="4"/>
    </w:lvlOverride>
  </w:num>
  <w:num w:numId="10">
    <w:abstractNumId w:val="3"/>
    <w:lvlOverride w:ilvl="0"/>
    <w:lvlOverride w:ilvl="1">
      <w:startOverride w:val="1"/>
    </w:lvlOverride>
  </w:num>
  <w:num w:numId="11">
    <w:abstractNumId w:val="3"/>
    <w:lvlOverride w:ilvl="0"/>
    <w:lvlOverride w:ilvl="1">
      <w:startOverride w:val="2"/>
    </w:lvlOverride>
  </w:num>
  <w:num w:numId="12">
    <w:abstractNumId w:val="4"/>
    <w:lvlOverride w:ilvl="1">
      <w:startOverride w:val="3"/>
    </w:lvlOverride>
  </w:num>
  <w:num w:numId="13">
    <w:abstractNumId w:val="4"/>
    <w:lvlOverride w:ilvl="0">
      <w:startOverride w:val="5"/>
    </w:lvlOverride>
    <w:lvlOverride w:ilvl="1"/>
  </w:num>
  <w:num w:numId="14">
    <w:abstractNumId w:val="4"/>
    <w:lvlOverride w:ilvl="0">
      <w:startOverride w:val="6"/>
    </w:lvlOverride>
    <w:lvlOverride w:ilvl="1"/>
  </w:num>
  <w:num w:numId="15">
    <w:abstractNumId w:val="4"/>
    <w:lvlOverride w:ilvl="0">
      <w:startOverride w:val="7"/>
    </w:lvlOverride>
    <w:lvlOverride w:ilvl="1"/>
  </w:num>
  <w:num w:numId="16">
    <w:abstractNumId w:val="4"/>
    <w:lvlOverride w:ilvl="0">
      <w:startOverride w:val="8"/>
    </w:lvlOverride>
    <w:lvlOverride w:ilvl="1"/>
  </w:num>
  <w:num w:numId="17">
    <w:abstractNumId w:val="0"/>
  </w:num>
  <w:num w:numId="18">
    <w:abstractNumId w:val="0"/>
    <w:lvlOverride w:ilvl="1">
      <w:startOverride w:val="1"/>
    </w:lvlOverride>
  </w:num>
  <w:num w:numId="19">
    <w:abstractNumId w:val="0"/>
    <w:lvlOverride w:ilvl="1">
      <w:startOverride w:val="2"/>
    </w:lvlOverride>
  </w:num>
  <w:num w:numId="20">
    <w:abstractNumId w:val="6"/>
    <w:lvlOverride w:ilvl="1">
      <w:startOverride w:val="3"/>
    </w:lvlOverride>
  </w:num>
  <w:num w:numId="21">
    <w:abstractNumId w:val="6"/>
    <w:lvlOverride w:ilvl="1">
      <w:startOverride w:val="4"/>
    </w:lvlOverride>
  </w:num>
  <w:num w:numId="22">
    <w:abstractNumId w:val="2"/>
    <w:lvlOverride w:ilvl="0">
      <w:startOverride w:val="5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CE"/>
    <w:rsid w:val="000161D5"/>
    <w:rsid w:val="00393FCE"/>
    <w:rsid w:val="00552CCF"/>
    <w:rsid w:val="00B161BD"/>
    <w:rsid w:val="00B60046"/>
    <w:rsid w:val="00BC5826"/>
    <w:rsid w:val="00E01ED6"/>
    <w:rsid w:val="00E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F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6656">
                  <w:marLeft w:val="0"/>
                  <w:marRight w:val="0"/>
                  <w:marTop w:val="0"/>
                  <w:marBottom w:val="0"/>
                  <w:divBdr>
                    <w:top w:val="dotted" w:sz="6" w:space="0" w:color="808080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</w:divsChild>
            </w:div>
            <w:div w:id="15768942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8400">
              <w:marLeft w:val="0"/>
              <w:marRight w:val="0"/>
              <w:marTop w:val="0"/>
              <w:marBottom w:val="0"/>
              <w:divBdr>
                <w:top w:val="dotted" w:sz="6" w:space="0" w:color="808080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</w:divsChild>
        </w:div>
        <w:div w:id="2133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59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5391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James M</dc:creator>
  <cp:keywords/>
  <dc:description/>
  <cp:lastModifiedBy>Cecilia Ireland</cp:lastModifiedBy>
  <cp:revision>2</cp:revision>
  <dcterms:created xsi:type="dcterms:W3CDTF">2015-11-19T16:28:00Z</dcterms:created>
  <dcterms:modified xsi:type="dcterms:W3CDTF">2015-11-19T16:28:00Z</dcterms:modified>
</cp:coreProperties>
</file>