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4961"/>
        <w:gridCol w:w="3387"/>
      </w:tblGrid>
      <w:tr w:rsidR="00561E6F" w:rsidTr="00A5489F">
        <w:trPr>
          <w:tblHeader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561E6F" w:rsidRDefault="00561E6F" w:rsidP="00A5489F">
            <w:pPr>
              <w:pStyle w:val="Zhlavtabulky"/>
            </w:pPr>
            <w:r>
              <w:t>Archiv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561E6F" w:rsidRDefault="00561E6F" w:rsidP="00A5489F">
            <w:pPr>
              <w:pStyle w:val="Zhlavtabulky"/>
            </w:pPr>
            <w:r>
              <w:t>Název předpisu, účinnost</w:t>
            </w:r>
          </w:p>
        </w:tc>
        <w:tc>
          <w:tcPr>
            <w:tcW w:w="3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561E6F" w:rsidRDefault="00561E6F" w:rsidP="00A5489F">
            <w:pPr>
              <w:pStyle w:val="Zhlavtabulky"/>
            </w:pPr>
            <w:r>
              <w:t>Co je zrušeno, obsah, uložení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JH</w:t>
            </w:r>
          </w:p>
          <w:p w:rsidR="00561E6F" w:rsidRDefault="00EB4A71" w:rsidP="00A5489F">
            <w:pPr>
              <w:pStyle w:val="Tabulka-archiv"/>
              <w:rPr>
                <w:color w:val="0000FF"/>
              </w:rPr>
            </w:pPr>
            <w:hyperlink r:id="rId5" w:history="1">
              <w:r w:rsidR="00561E6F">
                <w:rPr>
                  <w:rStyle w:val="Hypertextovodkaz"/>
                </w:rPr>
                <w:t>VÝTAH</w:t>
              </w:r>
            </w:hyperlink>
          </w:p>
          <w:p w:rsidR="00561E6F" w:rsidRDefault="00561E6F" w:rsidP="00A5489F">
            <w:pPr>
              <w:pStyle w:val="Tabulka-archiv"/>
            </w:pPr>
            <w:r>
              <w:t>PDF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rPr>
                <w:rFonts w:eastAsia="TimesNewRomanPS-BoldMT" w:cs="Arial"/>
                <w:szCs w:val="18"/>
              </w:rPr>
              <w:t xml:space="preserve">EN 746-1+A1:2009 zavedena v </w:t>
            </w:r>
            <w:r w:rsidRPr="00291E05">
              <w:rPr>
                <w:rFonts w:eastAsia="TimesNewRomanPS-BoldMT" w:cs="Arial" w:hint="eastAsia"/>
                <w:szCs w:val="18"/>
                <w:highlight w:val="yellow"/>
              </w:rPr>
              <w:t>Č</w:t>
            </w:r>
            <w:r w:rsidRPr="00291E05">
              <w:rPr>
                <w:rFonts w:eastAsia="TimesNewRomanPS-BoldMT" w:cs="Arial"/>
                <w:szCs w:val="18"/>
                <w:highlight w:val="yellow"/>
              </w:rPr>
              <w:t>SN EN 746-1+A1:2010</w:t>
            </w:r>
            <w:r w:rsidR="00BC2057" w:rsidRPr="00291E05">
              <w:rPr>
                <w:rFonts w:eastAsia="TimesNewRomanPS-BoldMT" w:cs="Arial"/>
                <w:szCs w:val="18"/>
                <w:highlight w:val="yellow"/>
              </w:rPr>
              <w:t>/Z1:2015</w:t>
            </w:r>
            <w:r>
              <w:rPr>
                <w:rFonts w:eastAsia="TimesNewRomanPS-BoldMT" w:cs="Arial"/>
                <w:szCs w:val="18"/>
              </w:rPr>
              <w:t xml:space="preserve"> </w:t>
            </w:r>
            <w:r>
              <w:rPr>
                <w:rFonts w:eastAsia="TimesNewRomanPSMT" w:cs="Arial"/>
                <w:szCs w:val="18"/>
              </w:rPr>
              <w:t xml:space="preserve">(06 5011) </w:t>
            </w:r>
            <w:r>
              <w:rPr>
                <w:rFonts w:eastAsia="TimesNewRomanPS-BoldMT" w:cs="Arial"/>
                <w:szCs w:val="18"/>
              </w:rPr>
              <w:t>Pr</w:t>
            </w:r>
            <w:r>
              <w:rPr>
                <w:rFonts w:eastAsia="TimesNewRomanPS-BoldMT" w:cs="Arial" w:hint="eastAsia"/>
                <w:szCs w:val="18"/>
              </w:rPr>
              <w:t>ů</w:t>
            </w:r>
            <w:r>
              <w:rPr>
                <w:rFonts w:eastAsia="TimesNewRomanPS-BoldMT" w:cs="Arial"/>
                <w:szCs w:val="18"/>
              </w:rPr>
              <w:t>myslov</w:t>
            </w:r>
            <w:r>
              <w:rPr>
                <w:rFonts w:eastAsia="TimesNewRomanPS-BoldMT" w:cs="Arial" w:hint="eastAsia"/>
                <w:szCs w:val="18"/>
              </w:rPr>
              <w:t>á</w:t>
            </w:r>
            <w:r>
              <w:rPr>
                <w:rFonts w:eastAsia="TimesNewRomanPS-BoldMT" w:cs="Arial"/>
                <w:szCs w:val="18"/>
              </w:rPr>
              <w:t xml:space="preserve"> tepeln</w:t>
            </w:r>
            <w:r>
              <w:rPr>
                <w:rFonts w:eastAsia="TimesNewRomanPS-BoldMT" w:cs="Arial" w:hint="eastAsia"/>
                <w:szCs w:val="18"/>
              </w:rPr>
              <w:t>á</w:t>
            </w:r>
            <w:r>
              <w:rPr>
                <w:rFonts w:eastAsia="TimesNewRomanPS-BoldMT" w:cs="Arial"/>
                <w:szCs w:val="18"/>
              </w:rPr>
              <w:t xml:space="preserve"> za</w:t>
            </w:r>
            <w:r>
              <w:rPr>
                <w:rFonts w:eastAsia="TimesNewRomanPS-BoldMT" w:cs="Arial" w:hint="eastAsia"/>
                <w:szCs w:val="18"/>
              </w:rPr>
              <w:t>ří</w:t>
            </w:r>
            <w:r>
              <w:rPr>
                <w:rFonts w:eastAsia="TimesNewRomanPS-BoldMT" w:cs="Arial"/>
                <w:szCs w:val="18"/>
              </w:rPr>
              <w:t>zen</w:t>
            </w:r>
            <w:r>
              <w:rPr>
                <w:rFonts w:eastAsia="TimesNewRomanPS-BoldMT" w:cs="Arial" w:hint="eastAsia"/>
                <w:szCs w:val="18"/>
              </w:rPr>
              <w:t>í</w:t>
            </w:r>
            <w:r>
              <w:rPr>
                <w:rFonts w:eastAsia="TimesNewRomanPS-BoldMT" w:cs="Arial"/>
                <w:szCs w:val="18"/>
              </w:rPr>
              <w:t xml:space="preserve"> - </w:t>
            </w:r>
            <w:r>
              <w:rPr>
                <w:rFonts w:eastAsia="TimesNewRomanPS-BoldMT" w:cs="Arial" w:hint="eastAsia"/>
                <w:szCs w:val="18"/>
              </w:rPr>
              <w:t>Čá</w:t>
            </w:r>
            <w:r>
              <w:rPr>
                <w:rFonts w:eastAsia="TimesNewRomanPS-BoldMT" w:cs="Arial"/>
                <w:szCs w:val="18"/>
              </w:rPr>
              <w:t>st 1: V</w:t>
            </w:r>
            <w:r>
              <w:rPr>
                <w:rFonts w:eastAsia="TimesNewRomanPS-BoldMT" w:cs="Arial" w:hint="eastAsia"/>
                <w:szCs w:val="18"/>
              </w:rPr>
              <w:t>š</w:t>
            </w:r>
            <w:r>
              <w:rPr>
                <w:rFonts w:eastAsia="TimesNewRomanPS-BoldMT" w:cs="Arial"/>
                <w:szCs w:val="18"/>
              </w:rPr>
              <w:t>eobecn</w:t>
            </w:r>
            <w:r>
              <w:rPr>
                <w:rFonts w:eastAsia="TimesNewRomanPS-BoldMT" w:cs="Arial" w:hint="eastAsia"/>
                <w:szCs w:val="18"/>
              </w:rPr>
              <w:t>é</w:t>
            </w:r>
            <w:r>
              <w:rPr>
                <w:rFonts w:eastAsia="TimesNewRomanPS-BoldMT" w:cs="Arial"/>
                <w:szCs w:val="18"/>
              </w:rPr>
              <w:t xml:space="preserve"> bezpe</w:t>
            </w:r>
            <w:r>
              <w:rPr>
                <w:rFonts w:eastAsia="TimesNewRomanPS-BoldMT" w:cs="Arial" w:hint="eastAsia"/>
                <w:szCs w:val="18"/>
              </w:rPr>
              <w:t>č</w:t>
            </w:r>
            <w:r>
              <w:rPr>
                <w:rFonts w:eastAsia="TimesNewRomanPS-BoldMT" w:cs="Arial"/>
                <w:szCs w:val="18"/>
              </w:rPr>
              <w:t>nostn</w:t>
            </w:r>
            <w:r>
              <w:rPr>
                <w:rFonts w:eastAsia="TimesNewRomanPS-BoldMT" w:cs="Arial" w:hint="eastAsia"/>
                <w:szCs w:val="18"/>
              </w:rPr>
              <w:t>í</w:t>
            </w:r>
            <w:r>
              <w:rPr>
                <w:rFonts w:eastAsia="TimesNewRomanPS-BoldMT" w:cs="Arial"/>
                <w:szCs w:val="18"/>
              </w:rPr>
              <w:t xml:space="preserve"> po</w:t>
            </w:r>
            <w:r>
              <w:rPr>
                <w:rFonts w:eastAsia="TimesNewRomanPS-BoldMT" w:cs="Arial" w:hint="eastAsia"/>
                <w:szCs w:val="18"/>
              </w:rPr>
              <w:t>ž</w:t>
            </w:r>
            <w:r>
              <w:rPr>
                <w:rFonts w:eastAsia="TimesNewRomanPS-BoldMT" w:cs="Arial"/>
                <w:szCs w:val="18"/>
              </w:rPr>
              <w:t>adavky na pr</w:t>
            </w:r>
            <w:r>
              <w:rPr>
                <w:rFonts w:eastAsia="TimesNewRomanPS-BoldMT" w:cs="Arial" w:hint="eastAsia"/>
                <w:szCs w:val="18"/>
              </w:rPr>
              <w:t>ů</w:t>
            </w:r>
            <w:r>
              <w:rPr>
                <w:rFonts w:eastAsia="TimesNewRomanPS-BoldMT" w:cs="Arial"/>
                <w:szCs w:val="18"/>
              </w:rPr>
              <w:t>myslov</w:t>
            </w:r>
            <w:r>
              <w:rPr>
                <w:rFonts w:eastAsia="TimesNewRomanPS-BoldMT" w:cs="Arial" w:hint="eastAsia"/>
                <w:szCs w:val="18"/>
              </w:rPr>
              <w:t>á</w:t>
            </w:r>
            <w:r>
              <w:rPr>
                <w:rFonts w:eastAsia="TimesNewRomanPS-BoldMT" w:cs="Arial"/>
                <w:szCs w:val="18"/>
              </w:rPr>
              <w:t xml:space="preserve"> tepeln</w:t>
            </w:r>
            <w:r>
              <w:rPr>
                <w:rFonts w:eastAsia="TimesNewRomanPS-BoldMT" w:cs="Arial" w:hint="eastAsia"/>
                <w:szCs w:val="18"/>
              </w:rPr>
              <w:t>á</w:t>
            </w:r>
            <w:r>
              <w:rPr>
                <w:rFonts w:eastAsia="TimesNewRomanPS-BoldMT" w:cs="Arial"/>
                <w:szCs w:val="18"/>
              </w:rPr>
              <w:t xml:space="preserve"> za</w:t>
            </w:r>
            <w:r>
              <w:rPr>
                <w:rFonts w:eastAsia="TimesNewRomanPS-BoldMT" w:cs="Arial" w:hint="eastAsia"/>
                <w:szCs w:val="18"/>
              </w:rPr>
              <w:t>ří</w:t>
            </w:r>
            <w:r>
              <w:rPr>
                <w:rFonts w:eastAsia="TimesNewRomanPS-BoldMT" w:cs="Arial"/>
                <w:szCs w:val="18"/>
              </w:rPr>
              <w:t>zen</w:t>
            </w:r>
            <w:r>
              <w:rPr>
                <w:rFonts w:eastAsia="TimesNewRomanPS-BoldMT" w:cs="Arial" w:hint="eastAsia"/>
                <w:szCs w:val="18"/>
              </w:rPr>
              <w:t>í</w:t>
            </w:r>
            <w:r>
              <w:rPr>
                <w:rFonts w:eastAsia="TimesNewRomanPS-BoldMT" w:cs="Arial"/>
                <w:szCs w:val="18"/>
              </w:rPr>
              <w:t>.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- Part 1: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PDF</w:t>
            </w:r>
          </w:p>
          <w:p w:rsidR="00561E6F" w:rsidRDefault="00561E6F" w:rsidP="00A5489F">
            <w:pPr>
              <w:pStyle w:val="Tabulka-archiv"/>
            </w:pPr>
            <w:r>
              <w:t>VYTAH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Pr="00354CB6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  <w:rPr>
                <w:color w:val="auto"/>
              </w:rPr>
            </w:pPr>
            <w:r w:rsidRPr="00E73013">
              <w:rPr>
                <w:rFonts w:eastAsia="TimesNewRomanPS-BoldMT" w:cs="Arial"/>
                <w:bCs/>
              </w:rPr>
              <w:t>EN 746-2:</w:t>
            </w:r>
            <w:r w:rsidRPr="00E73013">
              <w:rPr>
                <w:rFonts w:eastAsia="TimesNewRomanPSMT" w:cs="Arial"/>
              </w:rPr>
              <w:t>201</w:t>
            </w:r>
            <w:r>
              <w:rPr>
                <w:rFonts w:eastAsia="TimesNewRomanPSMT" w:cs="Arial"/>
              </w:rPr>
              <w:t xml:space="preserve">0 zavedena v </w:t>
            </w:r>
            <w:r w:rsidRPr="00E73013">
              <w:rPr>
                <w:rFonts w:eastAsia="TimesNewRomanPS-BoldMT" w:cs="Arial"/>
                <w:bCs/>
              </w:rPr>
              <w:t>ČSN EN 746-2:</w:t>
            </w:r>
            <w:r w:rsidRPr="00E73013">
              <w:rPr>
                <w:rFonts w:eastAsia="TimesNewRomanPSMT" w:cs="Arial"/>
              </w:rPr>
              <w:t>2011</w:t>
            </w:r>
            <w:r w:rsidRPr="00E73013">
              <w:rPr>
                <w:rFonts w:eastAsia="TimesNewRomanPS-BoldMT" w:cs="Arial"/>
                <w:bCs/>
              </w:rPr>
              <w:t xml:space="preserve"> </w:t>
            </w:r>
            <w:r w:rsidRPr="00E73013">
              <w:rPr>
                <w:rFonts w:eastAsia="TimesNewRomanPSMT" w:cs="Arial"/>
              </w:rPr>
              <w:t xml:space="preserve">(06 5011) </w:t>
            </w:r>
            <w:r w:rsidRPr="00E73013">
              <w:rPr>
                <w:rFonts w:eastAsia="TimesNewRomanPS-BoldMT" w:cs="Arial"/>
                <w:bCs/>
              </w:rPr>
              <w:t>Průmyslová tepelná zařízení - Část 2: Bezpečnostní požadavky na zařízení ke spalování a manipulaci s palivy.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Pr="00354CB6" w:rsidRDefault="00561E6F" w:rsidP="00A5489F">
            <w:pPr>
              <w:pStyle w:val="Tabulka-obsah"/>
              <w:rPr>
                <w:color w:val="auto"/>
              </w:rPr>
            </w:pPr>
            <w:proofErr w:type="spellStart"/>
            <w:r w:rsidRPr="00354CB6">
              <w:rPr>
                <w:color w:val="auto"/>
              </w:rPr>
              <w:t>Industrial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thermoprocessing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equipment</w:t>
            </w:r>
            <w:proofErr w:type="spellEnd"/>
            <w:r w:rsidRPr="00354CB6">
              <w:rPr>
                <w:color w:val="auto"/>
              </w:rPr>
              <w:t xml:space="preserve"> - Part 2: </w:t>
            </w:r>
            <w:proofErr w:type="spellStart"/>
            <w:r w:rsidRPr="00354CB6">
              <w:rPr>
                <w:color w:val="auto"/>
              </w:rPr>
              <w:t>Safety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requirements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for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combustion</w:t>
            </w:r>
            <w:proofErr w:type="spellEnd"/>
            <w:r w:rsidRPr="00354CB6">
              <w:rPr>
                <w:color w:val="auto"/>
              </w:rPr>
              <w:t xml:space="preserve"> and </w:t>
            </w:r>
            <w:proofErr w:type="spellStart"/>
            <w:r w:rsidRPr="00354CB6">
              <w:rPr>
                <w:color w:val="auto"/>
              </w:rPr>
              <w:t>fuel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handling</w:t>
            </w:r>
            <w:proofErr w:type="spellEnd"/>
            <w:r w:rsidRPr="00354CB6">
              <w:rPr>
                <w:color w:val="auto"/>
              </w:rPr>
              <w:t xml:space="preserve"> </w:t>
            </w:r>
            <w:proofErr w:type="spellStart"/>
            <w:r w:rsidRPr="00354CB6">
              <w:rPr>
                <w:color w:val="auto"/>
              </w:rPr>
              <w:t>systems</w:t>
            </w:r>
            <w:proofErr w:type="spellEnd"/>
            <w:r w:rsidRPr="00354CB6">
              <w:rPr>
                <w:color w:val="auto"/>
              </w:rPr>
              <w:t>.</w:t>
            </w:r>
          </w:p>
          <w:p w:rsidR="00561E6F" w:rsidRPr="009E3E82" w:rsidRDefault="00561E6F" w:rsidP="00A5489F">
            <w:pPr>
              <w:pStyle w:val="Tabulka-obsah"/>
              <w:rPr>
                <w:color w:val="FF0000"/>
              </w:rPr>
            </w:pPr>
            <w:r w:rsidRPr="009E3E82">
              <w:rPr>
                <w:color w:val="FF0000"/>
              </w:rPr>
              <w:t xml:space="preserve">Pyrolýza a </w:t>
            </w:r>
            <w:proofErr w:type="spellStart"/>
            <w:r w:rsidRPr="009E3E82">
              <w:rPr>
                <w:color w:val="FF0000"/>
              </w:rPr>
              <w:t>fléra</w:t>
            </w:r>
            <w:proofErr w:type="spellEnd"/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H</w:t>
            </w:r>
          </w:p>
          <w:p w:rsidR="00561E6F" w:rsidRDefault="00561E6F" w:rsidP="00A5489F">
            <w:pPr>
              <w:pStyle w:val="Tabulka-archiv"/>
            </w:pPr>
            <w:r>
              <w:t>PDF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t>EN 746-3+A1:2009 zavedena v ČSN EN 746-3+A1:2010 (06 5011) Průmyslová tepelná zařízení - Část 3: Bezpečnostní požadavky na výrobu a použití řízených atmosfér.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- Part 3: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and 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 </w:t>
            </w:r>
            <w:proofErr w:type="spellStart"/>
            <w:r>
              <w:t>gases</w:t>
            </w:r>
            <w:proofErr w:type="spellEnd"/>
            <w:r>
              <w:t>.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t>EN 746-4:2000 zavedena v ČSN EN 746-4:2000 (06 5011) Průmyslová tepelná zařízení - Část 4: Zvláštní bezpečnostní požadavky na galvanizační tepelná zařízení.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- Part 4: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hot </w:t>
            </w: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galvanising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H</w:t>
            </w:r>
          </w:p>
          <w:p w:rsidR="00561E6F" w:rsidRDefault="00561E6F" w:rsidP="00A5489F">
            <w:pPr>
              <w:pStyle w:val="Tabulka-archiv"/>
            </w:pPr>
            <w:r>
              <w:t>PDF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t>EN 746-5:2000 zavedena v ČSN EN 746-5:2001 (06 5011) Průmyslová tepelná zařízení - Část 5: Zvláštní bezpečnostní požadavky na tepelná zařízení se solnými lázněmi.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- Part 5: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salt 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  <w:r>
              <w:t>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t>EN 746-8:2000 zavedena v ČSN EN 746-8:2001 (06 5011) Průmyslová tepelná zařízení - Část 8: Zvláštní bezpečnostní požadavky na zařízení pro kalení.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thermoprocessing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- Part 8: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quenching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  <w:rPr>
                <w:color w:val="auto"/>
              </w:rPr>
            </w:pPr>
            <w:r>
              <w:rPr>
                <w:color w:val="auto"/>
              </w:rPr>
              <w:t>SCAN</w:t>
            </w:r>
          </w:p>
          <w:p w:rsidR="00561E6F" w:rsidRDefault="00EB4A71" w:rsidP="00A5489F">
            <w:pPr>
              <w:pStyle w:val="Tabulka-archiv"/>
              <w:rPr>
                <w:color w:val="0000FF"/>
              </w:rPr>
            </w:pPr>
            <w:hyperlink r:id="rId6" w:history="1">
              <w:r w:rsidR="00561E6F">
                <w:rPr>
                  <w:rStyle w:val="Hypertextovodkaz"/>
                </w:rPr>
                <w:t>VÝTAH</w:t>
              </w:r>
            </w:hyperlink>
          </w:p>
          <w:p w:rsidR="00561E6F" w:rsidRDefault="00561E6F" w:rsidP="00A5489F">
            <w:pPr>
              <w:pStyle w:val="Tabulka-archiv"/>
              <w:rPr>
                <w:sz w:val="16"/>
              </w:rPr>
            </w:pPr>
            <w:r>
              <w:t>PDF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  <w:r>
              <w:rPr>
                <w:rFonts w:cs="Arial"/>
                <w:szCs w:val="16"/>
              </w:rPr>
              <w:t>ČSN 06 1950:1992 Průmyslová tepelná zařízení na plynná paliva. Technické předpisy.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F31501" w:rsidP="00A5489F">
            <w:pPr>
              <w:pStyle w:val="Tabulka-pedpisy"/>
              <w:tabs>
                <w:tab w:val="clear" w:pos="360"/>
              </w:tabs>
              <w:ind w:left="363" w:hanging="363"/>
            </w:pPr>
            <w:r w:rsidRPr="00EB4A71">
              <w:rPr>
                <w:color w:val="auto"/>
                <w:highlight w:val="yellow"/>
              </w:rPr>
              <w:t>ČSN EN 1990:2004/A1:2007/Opr. 1:2007/Opr. 2:2008/Opr. 3:2010/Z1:2010/Z2:2010</w:t>
            </w:r>
            <w:bookmarkStart w:id="0" w:name="_GoBack"/>
            <w:bookmarkEnd w:id="0"/>
            <w:r>
              <w:rPr>
                <w:color w:val="auto"/>
              </w:rPr>
              <w:t xml:space="preserve"> (73 0002) </w:t>
            </w:r>
            <w:proofErr w:type="spellStart"/>
            <w:r>
              <w:rPr>
                <w:color w:val="auto"/>
              </w:rPr>
              <w:t>Eurokód</w:t>
            </w:r>
            <w:proofErr w:type="spellEnd"/>
            <w:r>
              <w:rPr>
                <w:color w:val="auto"/>
              </w:rPr>
              <w:t>: Zásady navrhování konstrukcí.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</w:p>
        </w:tc>
      </w:tr>
      <w:tr w:rsidR="00561E6F" w:rsidTr="00A5489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archiv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pedpisy"/>
              <w:tabs>
                <w:tab w:val="clear" w:pos="360"/>
              </w:tabs>
              <w:ind w:left="363" w:hanging="363"/>
            </w:pP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6F" w:rsidRDefault="00561E6F" w:rsidP="00A5489F">
            <w:pPr>
              <w:pStyle w:val="Tabulka-obsah"/>
            </w:pPr>
          </w:p>
        </w:tc>
      </w:tr>
    </w:tbl>
    <w:p w:rsidR="00C71F40" w:rsidRDefault="00C71F40"/>
    <w:sectPr w:rsidR="00C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0600"/>
    <w:multiLevelType w:val="hybridMultilevel"/>
    <w:tmpl w:val="3E362282"/>
    <w:lvl w:ilvl="0" w:tplc="25D48744">
      <w:start w:val="1"/>
      <w:numFmt w:val="bullet"/>
      <w:pStyle w:val="Tabulka-pedpis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F"/>
    <w:rsid w:val="00291E05"/>
    <w:rsid w:val="0052733C"/>
    <w:rsid w:val="00561E6F"/>
    <w:rsid w:val="00BC2057"/>
    <w:rsid w:val="00C71F40"/>
    <w:rsid w:val="00EB4A71"/>
    <w:rsid w:val="00F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3420-5811-4D46-A073-FC948F1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61E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tabulky">
    <w:name w:val="Záhlaví tabulky"/>
    <w:basedOn w:val="Normln"/>
    <w:rsid w:val="00561E6F"/>
    <w:pPr>
      <w:jc w:val="center"/>
    </w:pPr>
    <w:rPr>
      <w:snapToGrid w:val="0"/>
      <w:color w:val="000000"/>
      <w:szCs w:val="20"/>
    </w:rPr>
  </w:style>
  <w:style w:type="paragraph" w:customStyle="1" w:styleId="Tabulka-pedpisy">
    <w:name w:val="Tabulka-předpisy"/>
    <w:basedOn w:val="Normln"/>
    <w:qFormat/>
    <w:rsid w:val="00561E6F"/>
    <w:pPr>
      <w:numPr>
        <w:numId w:val="1"/>
      </w:numPr>
    </w:pPr>
    <w:rPr>
      <w:i/>
      <w:snapToGrid w:val="0"/>
      <w:color w:val="000000"/>
      <w:szCs w:val="20"/>
    </w:rPr>
  </w:style>
  <w:style w:type="paragraph" w:customStyle="1" w:styleId="Tabulka-obsah">
    <w:name w:val="Tabulka-obsah"/>
    <w:basedOn w:val="Tabulka-pedpisy"/>
    <w:qFormat/>
    <w:rsid w:val="00561E6F"/>
    <w:pPr>
      <w:numPr>
        <w:numId w:val="0"/>
      </w:numPr>
    </w:pPr>
    <w:rPr>
      <w:i w:val="0"/>
      <w:sz w:val="16"/>
    </w:rPr>
  </w:style>
  <w:style w:type="paragraph" w:customStyle="1" w:styleId="Tabulka-archiv">
    <w:name w:val="Tabulka-archiv"/>
    <w:basedOn w:val="Tabulka-obsah"/>
    <w:qFormat/>
    <w:rsid w:val="00561E6F"/>
    <w:pPr>
      <w:jc w:val="center"/>
    </w:pPr>
    <w:rPr>
      <w:caps/>
      <w:sz w:val="20"/>
    </w:rPr>
  </w:style>
  <w:style w:type="character" w:styleId="Hypertextovodkaz">
    <w:name w:val="Hyperlink"/>
    <w:basedOn w:val="Standardnpsmoodstavce"/>
    <w:semiHidden/>
    <w:rsid w:val="0056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LUBO&#352;\Users\Lubo&#353;\AppData\Roaming\Microsoft\ARCHIV%20DAT\BEZPECNOST\AKTUAL_TEXTY%20NOREM\06%201950%20ZARIZENI%20NA%20PLYNNA%20PALIVA\CSN_06_1950_vytah.doc" TargetMode="External"/><Relationship Id="rId5" Type="http://schemas.openxmlformats.org/officeDocument/2006/relationships/hyperlink" Target="file:///C:\LUBO&#352;\Users\Lubo&#353;\AppData\Roaming\Microsoft\ARCHIV%20DAT\BEZPECNOST\AKTUAL_TEXTY%20NOREM\746_1+A1%20PRUMYSLOVA%20TEPELNA%20ZAR_VSEOB%20POZAD\746_1_A1%20vyta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Skopal</dc:creator>
  <cp:keywords/>
  <dc:description/>
  <cp:lastModifiedBy>Jakub Skopal</cp:lastModifiedBy>
  <cp:revision>4</cp:revision>
  <dcterms:created xsi:type="dcterms:W3CDTF">2015-05-22T15:39:00Z</dcterms:created>
  <dcterms:modified xsi:type="dcterms:W3CDTF">2015-05-22T15:48:00Z</dcterms:modified>
</cp:coreProperties>
</file>