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t xml:space="preserve">David is charged with felony Driving Under </w:t>
            </w:r>
            <w:proofErr w:type="gramStart"/>
            <w:r w:rsidRPr="00C06148">
              <w:rPr>
                <w:rFonts w:ascii="Verdana" w:eastAsia="Times New Roman" w:hAnsi="Verdana" w:cs="Times New Roman"/>
                <w:b/>
                <w:bCs/>
                <w:color w:val="000000"/>
                <w:sz w:val="18"/>
                <w:szCs w:val="18"/>
              </w:rPr>
              <w:t>The</w:t>
            </w:r>
            <w:proofErr w:type="gramEnd"/>
            <w:r w:rsidRPr="00C06148">
              <w:rPr>
                <w:rFonts w:ascii="Verdana" w:eastAsia="Times New Roman" w:hAnsi="Verdana" w:cs="Times New Roman"/>
                <w:b/>
                <w:bCs/>
                <w:color w:val="000000"/>
                <w:sz w:val="18"/>
                <w:szCs w:val="18"/>
              </w:rPr>
              <w:t xml:space="preserve"> Influence in the state of </w:t>
            </w:r>
            <w:proofErr w:type="spellStart"/>
            <w:r w:rsidRPr="00C06148">
              <w:rPr>
                <w:rFonts w:ascii="Verdana" w:eastAsia="Times New Roman" w:hAnsi="Verdana" w:cs="Times New Roman"/>
                <w:b/>
                <w:bCs/>
                <w:color w:val="000000"/>
                <w:sz w:val="18"/>
                <w:szCs w:val="18"/>
              </w:rPr>
              <w:t>Freemount</w:t>
            </w:r>
            <w:proofErr w:type="spellEnd"/>
            <w:r w:rsidRPr="00C06148">
              <w:rPr>
                <w:rFonts w:ascii="Verdana" w:eastAsia="Times New Roman" w:hAnsi="Verdana" w:cs="Times New Roman"/>
                <w:b/>
                <w:bCs/>
                <w:color w:val="000000"/>
                <w:sz w:val="18"/>
                <w:szCs w:val="18"/>
              </w:rPr>
              <w:t xml:space="preserve">. In </w:t>
            </w:r>
            <w:proofErr w:type="spellStart"/>
            <w:r w:rsidRPr="00C06148">
              <w:rPr>
                <w:rFonts w:ascii="Verdana" w:eastAsia="Times New Roman" w:hAnsi="Verdana" w:cs="Times New Roman"/>
                <w:b/>
                <w:bCs/>
                <w:color w:val="000000"/>
                <w:sz w:val="18"/>
                <w:szCs w:val="18"/>
              </w:rPr>
              <w:t>Freemount</w:t>
            </w:r>
            <w:proofErr w:type="spellEnd"/>
            <w:r w:rsidRPr="00C06148">
              <w:rPr>
                <w:rFonts w:ascii="Verdana" w:eastAsia="Times New Roman" w:hAnsi="Verdana" w:cs="Times New Roman"/>
                <w:b/>
                <w:bCs/>
                <w:color w:val="000000"/>
                <w:sz w:val="18"/>
                <w:szCs w:val="18"/>
              </w:rPr>
              <w:t>, a person is guilty of Felony DUI if the person is convicted of DUI three times within 60 months. Evidence of David's prior DUI convictions is</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21"/>
              <w:gridCol w:w="8289"/>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lastRenderedPageBreak/>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because evidence of prior convictions is more prejudicial than probative.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because evidence of prior convictions does not establish motive or opportunity, intent or knowledge, absence of mistake, or common scheme, plan or preparation.</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highlight w:val="yellow"/>
                    </w:rPr>
                  </w:pPr>
                  <w:r w:rsidRPr="00C06148">
                    <w:rPr>
                      <w:rFonts w:ascii="Verdana" w:eastAsia="Times New Roman" w:hAnsi="Verdana" w:cs="Times New Roman"/>
                      <w:color w:val="000000"/>
                      <w:sz w:val="18"/>
                      <w:szCs w:val="18"/>
                      <w:highlight w:val="yellow"/>
                    </w:rPr>
                    <w:t>admissible, because proof of prior convictions is necessary to prove an essential element of the crime.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D</w:t>
                  </w:r>
                </w:p>
              </w:tc>
              <w:tc>
                <w:tcPr>
                  <w:tcW w:w="4500" w:type="pct"/>
                  <w:shd w:val="clear" w:color="auto" w:fill="auto"/>
                  <w:tcMar>
                    <w:top w:w="60" w:type="dxa"/>
                    <w:left w:w="75" w:type="dxa"/>
                    <w:bottom w:w="60" w:type="dxa"/>
                    <w:right w:w="75" w:type="dxa"/>
                  </w:tcMar>
                  <w:vAlign w:val="center"/>
                  <w:hideMark/>
                </w:tcPr>
                <w:p w:rsid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admissible, because evidence of the prior convictions is relevant to establish that the defendant has a propensity for driving under the influence.</w:t>
                  </w:r>
                </w:p>
                <w:tbl>
                  <w:tblPr>
                    <w:tblW w:w="5000" w:type="pct"/>
                    <w:tblCellMar>
                      <w:top w:w="15" w:type="dxa"/>
                      <w:left w:w="15" w:type="dxa"/>
                      <w:bottom w:w="15" w:type="dxa"/>
                      <w:right w:w="15" w:type="dxa"/>
                    </w:tblCellMar>
                    <w:tblLook w:val="04A0" w:firstRow="1" w:lastRow="0" w:firstColumn="1" w:lastColumn="0" w:noHBand="0" w:noVBand="1"/>
                  </w:tblPr>
                  <w:tblGrid>
                    <w:gridCol w:w="8139"/>
                  </w:tblGrid>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lastRenderedPageBreak/>
                          <w:t>Pauline brought a wrongful death and loss of consortium action against Save-A-Buck Bus Lines alleging that Save-A-Buck’s driver, Don, was driving under the influence of alcohol when the bus crashed and killed Pauline’s husband, who was a passenger. At trial, Pauline tried to introduce evidence that after the bus crash, Save-A-Buck established a policy that prior to each shift, all bus drivers were required to take a urine test to detect the presence of alcohol or drugs. If the judge sustains Save-A-Buck’s objection and rules that the evidence is not admissible, the most likely reason would be because</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99"/>
                          <w:gridCol w:w="7190"/>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it is not sufficient proof that Don was intoxicated while driving the bus that crashed.</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highlight w:val="yellow"/>
                                </w:rPr>
                              </w:pPr>
                              <w:r w:rsidRPr="00C06148">
                                <w:rPr>
                                  <w:rFonts w:ascii="Verdana" w:eastAsia="Times New Roman" w:hAnsi="Verdana" w:cs="Times New Roman"/>
                                  <w:color w:val="000000"/>
                                  <w:sz w:val="18"/>
                                  <w:szCs w:val="18"/>
                                  <w:highlight w:val="yellow"/>
                                </w:rPr>
                                <w:t>it is not sufficient proof that Save-A-Buck was aware that some of its drivers were driving under the influence.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the evidence is irrelevant.</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D</w:t>
                              </w:r>
                            </w:p>
                          </w:tc>
                          <w:tc>
                            <w:tcPr>
                              <w:tcW w:w="4500" w:type="pct"/>
                              <w:shd w:val="clear" w:color="auto" w:fill="auto"/>
                              <w:tcMar>
                                <w:top w:w="60" w:type="dxa"/>
                                <w:left w:w="75" w:type="dxa"/>
                                <w:bottom w:w="60" w:type="dxa"/>
                                <w:right w:w="75" w:type="dxa"/>
                              </w:tcMar>
                              <w:vAlign w:val="center"/>
                              <w:hideMark/>
                            </w:tcPr>
                            <w:p w:rsid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the evidence is inadmissible for public policy reasons.</w:t>
                              </w:r>
                            </w:p>
                            <w:tbl>
                              <w:tblPr>
                                <w:tblW w:w="5000" w:type="pct"/>
                                <w:tblCellMar>
                                  <w:top w:w="15" w:type="dxa"/>
                                  <w:left w:w="15" w:type="dxa"/>
                                  <w:bottom w:w="15" w:type="dxa"/>
                                  <w:right w:w="15" w:type="dxa"/>
                                </w:tblCellMar>
                                <w:tblLook w:val="04A0" w:firstRow="1" w:lastRow="0" w:firstColumn="1" w:lastColumn="0" w:noHBand="0" w:noVBand="1"/>
                              </w:tblPr>
                              <w:tblGrid>
                                <w:gridCol w:w="7040"/>
                              </w:tblGrid>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lastRenderedPageBreak/>
                                      <w:t xml:space="preserve">Dr. </w:t>
                                    </w:r>
                                    <w:proofErr w:type="spellStart"/>
                                    <w:r w:rsidRPr="00C06148">
                                      <w:rPr>
                                        <w:rFonts w:ascii="Verdana" w:eastAsia="Times New Roman" w:hAnsi="Verdana" w:cs="Times New Roman"/>
                                        <w:b/>
                                        <w:bCs/>
                                        <w:color w:val="000000"/>
                                        <w:sz w:val="18"/>
                                        <w:szCs w:val="18"/>
                                      </w:rPr>
                                      <w:t>Dolotta</w:t>
                                    </w:r>
                                    <w:proofErr w:type="spellEnd"/>
                                    <w:r w:rsidRPr="00C06148">
                                      <w:rPr>
                                        <w:rFonts w:ascii="Verdana" w:eastAsia="Times New Roman" w:hAnsi="Verdana" w:cs="Times New Roman"/>
                                        <w:b/>
                                        <w:bCs/>
                                        <w:color w:val="000000"/>
                                        <w:sz w:val="18"/>
                                        <w:szCs w:val="18"/>
                                      </w:rPr>
                                      <w:t xml:space="preserve">, a dentist, is being sued for civil rape for having sexual relations with Veronica, his patient, while she was under anesthesia. Subsequently, Dr. </w:t>
                                    </w:r>
                                    <w:proofErr w:type="spellStart"/>
                                    <w:r w:rsidRPr="00C06148">
                                      <w:rPr>
                                        <w:rFonts w:ascii="Verdana" w:eastAsia="Times New Roman" w:hAnsi="Verdana" w:cs="Times New Roman"/>
                                        <w:b/>
                                        <w:bCs/>
                                        <w:color w:val="000000"/>
                                        <w:sz w:val="18"/>
                                        <w:szCs w:val="18"/>
                                      </w:rPr>
                                      <w:t>Dolotta</w:t>
                                    </w:r>
                                    <w:proofErr w:type="spellEnd"/>
                                    <w:r w:rsidRPr="00C06148">
                                      <w:rPr>
                                        <w:rFonts w:ascii="Verdana" w:eastAsia="Times New Roman" w:hAnsi="Verdana" w:cs="Times New Roman"/>
                                        <w:b/>
                                        <w:bCs/>
                                        <w:color w:val="000000"/>
                                        <w:sz w:val="18"/>
                                        <w:szCs w:val="18"/>
                                      </w:rPr>
                                      <w:t xml:space="preserve"> was arrested and charged for the rape. Veronica seeks to testify that prior to his criminal trial, Dr. </w:t>
                                    </w:r>
                                    <w:proofErr w:type="spellStart"/>
                                    <w:r w:rsidRPr="00C06148">
                                      <w:rPr>
                                        <w:rFonts w:ascii="Verdana" w:eastAsia="Times New Roman" w:hAnsi="Verdana" w:cs="Times New Roman"/>
                                        <w:b/>
                                        <w:bCs/>
                                        <w:color w:val="000000"/>
                                        <w:sz w:val="18"/>
                                        <w:szCs w:val="18"/>
                                      </w:rPr>
                                      <w:t>Dolotta</w:t>
                                    </w:r>
                                    <w:proofErr w:type="spellEnd"/>
                                    <w:r w:rsidRPr="00C06148">
                                      <w:rPr>
                                        <w:rFonts w:ascii="Verdana" w:eastAsia="Times New Roman" w:hAnsi="Verdana" w:cs="Times New Roman"/>
                                        <w:b/>
                                        <w:bCs/>
                                        <w:color w:val="000000"/>
                                        <w:sz w:val="18"/>
                                        <w:szCs w:val="18"/>
                                      </w:rPr>
                                      <w:t xml:space="preserve"> contacted her and offered to refund the cost of her root canal if she agreed to “forget” that she ever consulted Dr. </w:t>
                                    </w:r>
                                    <w:proofErr w:type="spellStart"/>
                                    <w:r w:rsidRPr="00C06148">
                                      <w:rPr>
                                        <w:rFonts w:ascii="Verdana" w:eastAsia="Times New Roman" w:hAnsi="Verdana" w:cs="Times New Roman"/>
                                        <w:b/>
                                        <w:bCs/>
                                        <w:color w:val="000000"/>
                                        <w:sz w:val="18"/>
                                        <w:szCs w:val="18"/>
                                      </w:rPr>
                                      <w:t>Dolotta</w:t>
                                    </w:r>
                                    <w:proofErr w:type="spellEnd"/>
                                    <w:r w:rsidRPr="00C06148">
                                      <w:rPr>
                                        <w:rFonts w:ascii="Verdana" w:eastAsia="Times New Roman" w:hAnsi="Verdana" w:cs="Times New Roman"/>
                                        <w:b/>
                                        <w:bCs/>
                                        <w:color w:val="000000"/>
                                        <w:sz w:val="18"/>
                                        <w:szCs w:val="18"/>
                                      </w:rPr>
                                      <w:t xml:space="preserve"> or came to his office for dental work. In the civil trial this testimony should be</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89"/>
                                      <w:gridCol w:w="6201"/>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since public policy prevents admission of offers of compromise.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since it is highly prejudicial.</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highlight w:val="yellow"/>
                                            </w:rPr>
                                          </w:pPr>
                                          <w:r w:rsidRPr="00C06148">
                                            <w:rPr>
                                              <w:rFonts w:ascii="Verdana" w:eastAsia="Times New Roman" w:hAnsi="Verdana" w:cs="Times New Roman"/>
                                              <w:color w:val="000000"/>
                                              <w:sz w:val="18"/>
                                              <w:szCs w:val="18"/>
                                              <w:highlight w:val="yellow"/>
                                            </w:rPr>
                                            <w:t xml:space="preserve">admissible since it is probative evidence of Dr. </w:t>
                                          </w:r>
                                          <w:proofErr w:type="spellStart"/>
                                          <w:r w:rsidRPr="00C06148">
                                            <w:rPr>
                                              <w:rFonts w:ascii="Verdana" w:eastAsia="Times New Roman" w:hAnsi="Verdana" w:cs="Times New Roman"/>
                                              <w:color w:val="000000"/>
                                              <w:sz w:val="18"/>
                                              <w:szCs w:val="18"/>
                                              <w:highlight w:val="yellow"/>
                                            </w:rPr>
                                            <w:t>Dolotta’s</w:t>
                                          </w:r>
                                          <w:proofErr w:type="spellEnd"/>
                                          <w:r w:rsidRPr="00C06148">
                                            <w:rPr>
                                              <w:rFonts w:ascii="Verdana" w:eastAsia="Times New Roman" w:hAnsi="Verdana" w:cs="Times New Roman"/>
                                              <w:color w:val="000000"/>
                                              <w:sz w:val="18"/>
                                              <w:szCs w:val="18"/>
                                              <w:highlight w:val="yellow"/>
                                            </w:rPr>
                                            <w:t xml:space="preserve"> liability and was made to stifle criminal prosecution.</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D</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 xml:space="preserve">admissible as proof of Dr. </w:t>
                                          </w:r>
                                          <w:proofErr w:type="spellStart"/>
                                          <w:r w:rsidRPr="00C06148">
                                            <w:rPr>
                                              <w:rFonts w:ascii="Verdana" w:eastAsia="Times New Roman" w:hAnsi="Verdana" w:cs="Times New Roman"/>
                                              <w:color w:val="000000"/>
                                              <w:sz w:val="18"/>
                                              <w:szCs w:val="18"/>
                                            </w:rPr>
                                            <w:t>Dolotta’s</w:t>
                                          </w:r>
                                          <w:proofErr w:type="spellEnd"/>
                                          <w:r w:rsidRPr="00C06148">
                                            <w:rPr>
                                              <w:rFonts w:ascii="Verdana" w:eastAsia="Times New Roman" w:hAnsi="Verdana" w:cs="Times New Roman"/>
                                              <w:color w:val="000000"/>
                                              <w:sz w:val="18"/>
                                              <w:szCs w:val="18"/>
                                            </w:rPr>
                                            <w:t xml:space="preserve"> character.</w:t>
                                          </w: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bl>
                            <w:p w:rsidR="00C06148" w:rsidRPr="00C06148" w:rsidRDefault="00C06148" w:rsidP="00C06148">
                              <w:pPr>
                                <w:spacing w:after="192" w:line="360" w:lineRule="atLeast"/>
                                <w:rPr>
                                  <w:rFonts w:ascii="Verdana" w:eastAsia="Times New Roman" w:hAnsi="Verdana" w:cs="Times New Roman"/>
                                  <w:color w:val="000000"/>
                                  <w:sz w:val="18"/>
                                  <w:szCs w:val="18"/>
                                </w:rPr>
                              </w:pP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bl>
                <w:p w:rsidR="00C06148" w:rsidRPr="00C06148" w:rsidRDefault="00C06148" w:rsidP="00C06148">
                  <w:pPr>
                    <w:spacing w:after="192" w:line="360" w:lineRule="atLeast"/>
                    <w:rPr>
                      <w:rFonts w:ascii="Verdana" w:eastAsia="Times New Roman" w:hAnsi="Verdana" w:cs="Times New Roman"/>
                      <w:color w:val="000000"/>
                      <w:sz w:val="18"/>
                      <w:szCs w:val="18"/>
                    </w:rPr>
                  </w:pP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lastRenderedPageBreak/>
              <w:t>Dan is arrested and charged with the rape of Valerie. At trial the prosecution seeks to have admitted into evidence several syringes containing methamphetamine residue which were found during an inventory search of Dan’s car. This evidence is</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21"/>
              <w:gridCol w:w="8289"/>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lastRenderedPageBreak/>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because such evidence may be used only to rebut evidence of good character introduced by the defense.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because the probative value of the evidence offered is substantially outweighed by its prejudicial effect.</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admissible to establish Dan’s generally bad character.</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t>D</w:t>
                  </w:r>
                </w:p>
              </w:tc>
              <w:tc>
                <w:tcPr>
                  <w:tcW w:w="4500" w:type="pct"/>
                  <w:shd w:val="clear" w:color="auto" w:fill="auto"/>
                  <w:tcMar>
                    <w:top w:w="60" w:type="dxa"/>
                    <w:left w:w="75" w:type="dxa"/>
                    <w:bottom w:w="60" w:type="dxa"/>
                    <w:right w:w="75" w:type="dxa"/>
                  </w:tcMar>
                  <w:vAlign w:val="center"/>
                  <w:hideMark/>
                </w:tcPr>
                <w:p w:rsidR="00C06148" w:rsidRDefault="00C06148" w:rsidP="00C06148">
                  <w:pPr>
                    <w:spacing w:after="192" w:line="360" w:lineRule="atLeast"/>
                    <w:rPr>
                      <w:rFonts w:ascii="Verdana" w:eastAsia="Times New Roman" w:hAnsi="Verdana" w:cs="Times New Roman"/>
                      <w:color w:val="000000"/>
                      <w:sz w:val="18"/>
                      <w:szCs w:val="18"/>
                      <w:highlight w:val="yellow"/>
                    </w:rPr>
                  </w:pPr>
                  <w:r w:rsidRPr="00C06148">
                    <w:rPr>
                      <w:rFonts w:ascii="Verdana" w:eastAsia="Times New Roman" w:hAnsi="Verdana" w:cs="Times New Roman"/>
                      <w:color w:val="000000"/>
                      <w:sz w:val="18"/>
                      <w:szCs w:val="18"/>
                      <w:highlight w:val="yellow"/>
                    </w:rPr>
                    <w:t>admissible to establish Dan’s propensity for criminal activity.</w:t>
                  </w:r>
                </w:p>
                <w:tbl>
                  <w:tblPr>
                    <w:tblW w:w="5000" w:type="pct"/>
                    <w:tblCellMar>
                      <w:top w:w="15" w:type="dxa"/>
                      <w:left w:w="15" w:type="dxa"/>
                      <w:bottom w:w="15" w:type="dxa"/>
                      <w:right w:w="15" w:type="dxa"/>
                    </w:tblCellMar>
                    <w:tblLook w:val="04A0" w:firstRow="1" w:lastRow="0" w:firstColumn="1" w:lastColumn="0" w:noHBand="0" w:noVBand="1"/>
                  </w:tblPr>
                  <w:tblGrid>
                    <w:gridCol w:w="8139"/>
                  </w:tblGrid>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t xml:space="preserve">Angelique was one of the many excited consumers to purchase Cellophane-Rid-All, a new cellulite-reducing product, which works by applying a topical formula to the skin and wrapping the area with a cellophane material, treated with “activators”. Unfortunately, when Angelique applied the product, she suffered first degree burns and scarring when the product reacted negatively on her skin. She sued the manufacturer who denied liability, asserting that there was nothing in the product to cause her injuries. Angelique offered to have her dermatologist, Dr. </w:t>
                        </w:r>
                        <w:proofErr w:type="spellStart"/>
                        <w:r w:rsidRPr="00C06148">
                          <w:rPr>
                            <w:rFonts w:ascii="Verdana" w:eastAsia="Times New Roman" w:hAnsi="Verdana" w:cs="Times New Roman"/>
                            <w:b/>
                            <w:bCs/>
                            <w:color w:val="000000"/>
                            <w:sz w:val="18"/>
                            <w:szCs w:val="18"/>
                          </w:rPr>
                          <w:t>Klear</w:t>
                        </w:r>
                        <w:proofErr w:type="spellEnd"/>
                        <w:r w:rsidRPr="00C06148">
                          <w:rPr>
                            <w:rFonts w:ascii="Verdana" w:eastAsia="Times New Roman" w:hAnsi="Verdana" w:cs="Times New Roman"/>
                            <w:b/>
                            <w:bCs/>
                            <w:color w:val="000000"/>
                            <w:sz w:val="18"/>
                            <w:szCs w:val="18"/>
                          </w:rPr>
                          <w:t>, testify that since the product came on the market, he had treated fifteen other women claiming the same results from the same product. The manufacturer sought to have the testimony excluded. The trial judge should find the testimony</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99"/>
                          <w:gridCol w:w="7190"/>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because the manufacturer's character is not in issue.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unless the other patients have brought their own lawsuits independently.</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highlight w:val="yellow"/>
                                </w:rPr>
                              </w:pPr>
                              <w:r w:rsidRPr="00C06148">
                                <w:rPr>
                                  <w:rFonts w:ascii="Verdana" w:eastAsia="Times New Roman" w:hAnsi="Verdana" w:cs="Times New Roman"/>
                                  <w:color w:val="000000"/>
                                  <w:sz w:val="18"/>
                                  <w:szCs w:val="18"/>
                                  <w:highlight w:val="yellow"/>
                                </w:rPr>
                                <w:t>admissible, if Angelique can show there is a causal connection between the patients' injuries and the product.</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D</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admissible, because it shows the habit of the manufacturer in producing harmful products.</w:t>
                              </w: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bl>
                <w:p w:rsidR="00C06148" w:rsidRPr="00C06148" w:rsidRDefault="00C06148" w:rsidP="00C06148">
                  <w:pPr>
                    <w:spacing w:after="192" w:line="360" w:lineRule="atLeast"/>
                    <w:rPr>
                      <w:rFonts w:ascii="Verdana" w:eastAsia="Times New Roman" w:hAnsi="Verdana" w:cs="Times New Roman"/>
                      <w:color w:val="000000"/>
                      <w:sz w:val="18"/>
                      <w:szCs w:val="18"/>
                      <w:highlight w:val="yellow"/>
                    </w:rPr>
                  </w:pP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lastRenderedPageBreak/>
              <w:t>Avery loved to dine at his favorite restaurant, Chez Philippe. He always ordered the coq au vin, a chicken dish. While enjoying his meal, Avery cut into the chicken and the bone snapped, splintering into little pieces. One of the pieces became embedded in Avery’s face, requiring surgery to remove it and subsequent permanent scarring. In suing the restaurant for damages, Avery claimed that the restaurant was negligent in preparing and serving the chicken. The restaurant defended itself and offered evidence that since the restaurant has been in operation, they have served over a thousand dishes of coq au vin, and there has never been an accident such as this. Is this evidence admissible?</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21"/>
              <w:gridCol w:w="8289"/>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highlight w:val="yellow"/>
                    </w:rPr>
                  </w:pPr>
                  <w:r w:rsidRPr="00C06148">
                    <w:rPr>
                      <w:rFonts w:ascii="Verdana" w:eastAsia="Times New Roman" w:hAnsi="Verdana" w:cs="Times New Roman"/>
                      <w:color w:val="000000"/>
                      <w:sz w:val="18"/>
                      <w:szCs w:val="18"/>
                      <w:highlight w:val="yellow"/>
                    </w:rPr>
                    <w:t>No, not as proof of the restaurant’s lack of negligence.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No, because it is offered only to bolster the defendant’s case.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Yes, because it proves that Avery was contributorily negligent.</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D</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Yes, to show that the restaurant acted reasonably in preparing the dish.</w:t>
                  </w: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t>Derek was arrested and charged for raping Vicki. Derek pleaded not guilty and claimed that he had been with friends at the time of the rape. At trial, Vicki testified that Derek had approached her when she was leaving O’Leary’s Pub and claimed he had car trouble. When Vicki offered to give Derek a ride, he forced her into her car and raped her at knifepoint. The prosecution then called Winifred to the stand. She testified that a week before, Derek had approached her when she was leaving Party Time, a bar two blocks from O’Leary’s and asked for a ride because his car would not start. When she agreed, he forced her into her car and attempted to rape her before she managed to get out and run away. Is Winifred’s testimony admissible over Derek’s objection?</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21"/>
              <w:gridCol w:w="8289"/>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lastRenderedPageBreak/>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highlight w:val="yellow"/>
                    </w:rPr>
                  </w:pPr>
                  <w:r w:rsidRPr="00C06148">
                    <w:rPr>
                      <w:rFonts w:ascii="Verdana" w:eastAsia="Times New Roman" w:hAnsi="Verdana" w:cs="Times New Roman"/>
                      <w:color w:val="000000"/>
                      <w:sz w:val="18"/>
                      <w:szCs w:val="18"/>
                      <w:highlight w:val="yellow"/>
                    </w:rPr>
                    <w:t>Yes, because Winifred’s testimony is relevant to prove Derek is the person who raped Vicki.</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Yes, because Winifred’s testimony is relevant to the issue of Derek’s character, which he placed at issue.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No, because it is character evidence to show Derek acted in conformity with the charged crime.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D</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No, because the probative value of the testimony does not substantially outweigh its unfair prejudice.</w:t>
                  </w: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t>Avis was charged with killing her husband Charles, an act that occurred while they were watching a particularly knotty game of Jeopardy on the television. The defense called Phil, their neighbor, who testified that he was present in their living room and saw the fight and based on what he saw, Charles was the aggressor. Phil also testified that as long as he knew the couple who had lived next door to him, Avis was a quiet, peace-loving woman. The prosecutor then called Avis’ daughter, Emmy Lou, who would testify that Avis was a hot-tempered, violent person. The defense objects and Emmy Lou’s testimony should be</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21"/>
              <w:gridCol w:w="8289"/>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lastRenderedPageBreak/>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highlight w:val="yellow"/>
                    </w:rPr>
                  </w:pPr>
                  <w:r w:rsidRPr="00C06148">
                    <w:rPr>
                      <w:rFonts w:ascii="Verdana" w:eastAsia="Times New Roman" w:hAnsi="Verdana" w:cs="Times New Roman"/>
                      <w:color w:val="000000"/>
                      <w:sz w:val="18"/>
                      <w:szCs w:val="18"/>
                      <w:highlight w:val="yellow"/>
                    </w:rPr>
                    <w:t>admissible, to rebut Phil’s testimony that Avis was a quiet, peace-loving woman.</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admissible, to rebut Avis’ claim of self-defense.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because Avis has not specifically questioned Charles’ character.</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D</w:t>
                  </w:r>
                </w:p>
              </w:tc>
              <w:tc>
                <w:tcPr>
                  <w:tcW w:w="4500" w:type="pct"/>
                  <w:shd w:val="clear" w:color="auto" w:fill="auto"/>
                  <w:tcMar>
                    <w:top w:w="60" w:type="dxa"/>
                    <w:left w:w="75" w:type="dxa"/>
                    <w:bottom w:w="60" w:type="dxa"/>
                    <w:right w:w="75" w:type="dxa"/>
                  </w:tcMar>
                  <w:vAlign w:val="center"/>
                  <w:hideMark/>
                </w:tcPr>
                <w:p w:rsid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because Emmy Lou’s testimony is biased.</w:t>
                  </w:r>
                </w:p>
                <w:tbl>
                  <w:tblPr>
                    <w:tblW w:w="5000" w:type="pct"/>
                    <w:tblCellMar>
                      <w:top w:w="15" w:type="dxa"/>
                      <w:left w:w="15" w:type="dxa"/>
                      <w:bottom w:w="15" w:type="dxa"/>
                      <w:right w:w="15" w:type="dxa"/>
                    </w:tblCellMar>
                    <w:tblLook w:val="04A0" w:firstRow="1" w:lastRow="0" w:firstColumn="1" w:lastColumn="0" w:noHBand="0" w:noVBand="1"/>
                  </w:tblPr>
                  <w:tblGrid>
                    <w:gridCol w:w="8139"/>
                  </w:tblGrid>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lastRenderedPageBreak/>
                          <w:t>Barry was the town mayor. The town newspaper ran a column by the local gossip, Abilene. In one of the columns, Abilene wrote that Barry was taking bribes. The townspeople responded by mounting a recall effort and ousted Barry from office. Barry subsequently sued the newspaper for defamation, and the newspaper asserted truth as a defense. At trial, Barry contended he was an honest politician. In its defense, the newspaper brought Vera to the stand to testify that Barry took money to help ensure that a parcel of city property was sold to a particular developer. Barry’s lawyer objects. Should the testimony be admitted?</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99"/>
                          <w:gridCol w:w="7190"/>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highlight w:val="yellow"/>
                                </w:rPr>
                                <w:t>Yes, it is relevant to show Barry was taking bribes.</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No, it is inadmissible specific act character evidence.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Yes, it shows Barry was untruthful.</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D</w:t>
                              </w:r>
                            </w:p>
                          </w:tc>
                          <w:tc>
                            <w:tcPr>
                              <w:tcW w:w="4500" w:type="pct"/>
                              <w:shd w:val="clear" w:color="auto" w:fill="auto"/>
                              <w:tcMar>
                                <w:top w:w="60" w:type="dxa"/>
                                <w:left w:w="75" w:type="dxa"/>
                                <w:bottom w:w="60" w:type="dxa"/>
                                <w:right w:w="75" w:type="dxa"/>
                              </w:tcMar>
                              <w:vAlign w:val="center"/>
                              <w:hideMark/>
                            </w:tcPr>
                            <w:p w:rsid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No, because evidence of character is inadmissible unless Barry puts his character in issue.</w:t>
                              </w:r>
                            </w:p>
                            <w:tbl>
                              <w:tblPr>
                                <w:tblW w:w="5000" w:type="pct"/>
                                <w:tblCellMar>
                                  <w:top w:w="15" w:type="dxa"/>
                                  <w:left w:w="15" w:type="dxa"/>
                                  <w:bottom w:w="15" w:type="dxa"/>
                                  <w:right w:w="15" w:type="dxa"/>
                                </w:tblCellMar>
                                <w:tblLook w:val="04A0" w:firstRow="1" w:lastRow="0" w:firstColumn="1" w:lastColumn="0" w:noHBand="0" w:noVBand="1"/>
                              </w:tblPr>
                              <w:tblGrid>
                                <w:gridCol w:w="7040"/>
                              </w:tblGrid>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b/>
                                        <w:bCs/>
                                        <w:color w:val="000000"/>
                                        <w:sz w:val="18"/>
                                        <w:szCs w:val="18"/>
                                      </w:rPr>
                                      <w:lastRenderedPageBreak/>
                                      <w:t>Victor was robbed and beaten by a man wearing a rubber Richard Nixon mask. The man stopped Victor at the door of Victor’s home by pointing a nickel-plated, ivory handled .45 caliber pistol. Police officers arrested and charged Donald with armed robbery and aggravated assault of Victor. At trial, the prosecution called William to testify that two weeks before Victor was robbed and attacked, a man wearing a rubber Richard Nixon mask and carrying a nickel-plated, ivory-handled .45 caliber pistol beat him and attempted to rob him. William managed to get a look at the masked man’s face during the struggle and has positively identified him as Donald to the police. The court should find that William’s testimony is</w:t>
                                    </w:r>
                                  </w:p>
                                </w:tc>
                              </w:tr>
                              <w:tr w:rsidR="00C06148" w:rsidRPr="00C06148" w:rsidTr="00C06148">
                                <w:trPr>
                                  <w:tblHeader/>
                                </w:trPr>
                                <w:tc>
                                  <w:tcPr>
                                    <w:tcW w:w="5000" w:type="pct"/>
                                    <w:tcBorders>
                                      <w:top w:val="nil"/>
                                      <w:left w:val="nil"/>
                                      <w:bottom w:val="nil"/>
                                      <w:right w:val="nil"/>
                                    </w:tcBorders>
                                    <w:shd w:val="clear" w:color="auto" w:fill="auto"/>
                                    <w:tcMar>
                                      <w:top w:w="60" w:type="dxa"/>
                                      <w:left w:w="75" w:type="dxa"/>
                                      <w:bottom w:w="60"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89"/>
                                      <w:gridCol w:w="6201"/>
                                    </w:tblGrid>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highlight w:val="yellow"/>
                                            </w:rPr>
                                          </w:pPr>
                                          <w:r w:rsidRPr="00C06148">
                                            <w:rPr>
                                              <w:rFonts w:ascii="Verdana" w:eastAsia="Times New Roman" w:hAnsi="Verdana" w:cs="Times New Roman"/>
                                              <w:b/>
                                              <w:bCs/>
                                              <w:color w:val="000000"/>
                                              <w:sz w:val="20"/>
                                              <w:szCs w:val="20"/>
                                              <w:highlight w:val="yellow"/>
                                            </w:rPr>
                                            <w:t>A</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highlight w:val="yellow"/>
                                            </w:rPr>
                                          </w:pPr>
                                          <w:r w:rsidRPr="00C06148">
                                            <w:rPr>
                                              <w:rFonts w:ascii="Verdana" w:eastAsia="Times New Roman" w:hAnsi="Verdana" w:cs="Times New Roman"/>
                                              <w:color w:val="000000"/>
                                              <w:sz w:val="18"/>
                                              <w:szCs w:val="18"/>
                                              <w:highlight w:val="yellow"/>
                                            </w:rPr>
                                            <w:t>admissible, as establishing an identifying circumstance.</w:t>
                                          </w:r>
                                          <w:bookmarkStart w:id="0" w:name="_GoBack"/>
                                          <w:bookmarkEnd w:id="0"/>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B</w:t>
                                          </w:r>
                                        </w:p>
                                      </w:tc>
                                      <w:tc>
                                        <w:tcPr>
                                          <w:tcW w:w="4500" w:type="pct"/>
                                          <w:tcBorders>
                                            <w:top w:val="nil"/>
                                            <w:left w:val="nil"/>
                                            <w:bottom w:val="nil"/>
                                            <w:right w:val="nil"/>
                                          </w:tcBorders>
                                          <w:shd w:val="clear" w:color="auto" w:fill="auto"/>
                                          <w:tcMar>
                                            <w:top w:w="60" w:type="dxa"/>
                                            <w:left w:w="75" w:type="dxa"/>
                                            <w:bottom w:w="60" w:type="dxa"/>
                                            <w:right w:w="75" w:type="dxa"/>
                                          </w:tcMa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admissible, as showing habit.</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C</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because its probative value is substantially outweighed by the danger of unfair prejudice.</w:t>
                                          </w:r>
                                        </w:p>
                                      </w:tc>
                                    </w:tr>
                                    <w:tr w:rsidR="00C06148" w:rsidRPr="00C06148">
                                      <w:tc>
                                        <w:tcPr>
                                          <w:tcW w:w="500" w:type="pct"/>
                                          <w:shd w:val="clear" w:color="auto" w:fill="auto"/>
                                          <w:tcMar>
                                            <w:top w:w="60" w:type="dxa"/>
                                            <w:left w:w="75" w:type="dxa"/>
                                            <w:bottom w:w="60" w:type="dxa"/>
                                            <w:right w:w="75" w:type="dxa"/>
                                          </w:tcMar>
                                          <w:vAlign w:val="center"/>
                                          <w:hideMark/>
                                        </w:tcPr>
                                        <w:p w:rsidR="00C06148" w:rsidRPr="00C06148" w:rsidRDefault="00C06148" w:rsidP="00C06148">
                                          <w:pPr>
                                            <w:spacing w:after="0" w:line="240" w:lineRule="auto"/>
                                            <w:rPr>
                                              <w:rFonts w:ascii="Verdana" w:eastAsia="Times New Roman" w:hAnsi="Verdana" w:cs="Times New Roman"/>
                                              <w:color w:val="000000"/>
                                              <w:sz w:val="20"/>
                                              <w:szCs w:val="20"/>
                                            </w:rPr>
                                          </w:pPr>
                                          <w:r w:rsidRPr="00C06148">
                                            <w:rPr>
                                              <w:rFonts w:ascii="Verdana" w:eastAsia="Times New Roman" w:hAnsi="Verdana" w:cs="Times New Roman"/>
                                              <w:b/>
                                              <w:bCs/>
                                              <w:color w:val="000000"/>
                                              <w:sz w:val="20"/>
                                              <w:szCs w:val="20"/>
                                            </w:rPr>
                                            <w:t>D</w:t>
                                          </w:r>
                                        </w:p>
                                      </w:tc>
                                      <w:tc>
                                        <w:tcPr>
                                          <w:tcW w:w="4500" w:type="pct"/>
                                          <w:shd w:val="clear" w:color="auto" w:fill="auto"/>
                                          <w:tcMar>
                                            <w:top w:w="60" w:type="dxa"/>
                                            <w:left w:w="75" w:type="dxa"/>
                                            <w:bottom w:w="60" w:type="dxa"/>
                                            <w:right w:w="75" w:type="dxa"/>
                                          </w:tcMar>
                                          <w:vAlign w:val="center"/>
                                          <w:hideMark/>
                                        </w:tcPr>
                                        <w:p w:rsidR="00C06148" w:rsidRPr="00C06148" w:rsidRDefault="00C06148" w:rsidP="00C06148">
                                          <w:pPr>
                                            <w:spacing w:after="192" w:line="360" w:lineRule="atLeast"/>
                                            <w:rPr>
                                              <w:rFonts w:ascii="Verdana" w:eastAsia="Times New Roman" w:hAnsi="Verdana" w:cs="Times New Roman"/>
                                              <w:color w:val="000000"/>
                                              <w:sz w:val="18"/>
                                              <w:szCs w:val="18"/>
                                            </w:rPr>
                                          </w:pPr>
                                          <w:r w:rsidRPr="00C06148">
                                            <w:rPr>
                                              <w:rFonts w:ascii="Verdana" w:eastAsia="Times New Roman" w:hAnsi="Verdana" w:cs="Times New Roman"/>
                                              <w:color w:val="000000"/>
                                              <w:sz w:val="18"/>
                                              <w:szCs w:val="18"/>
                                            </w:rPr>
                                            <w:t>inadmissible, as it is improper character evidence.</w:t>
                                          </w: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bl>
                            <w:p w:rsidR="00C06148" w:rsidRPr="00C06148" w:rsidRDefault="00C06148" w:rsidP="00C06148">
                              <w:pPr>
                                <w:spacing w:after="192" w:line="360" w:lineRule="atLeast"/>
                                <w:rPr>
                                  <w:rFonts w:ascii="Verdana" w:eastAsia="Times New Roman" w:hAnsi="Verdana" w:cs="Times New Roman"/>
                                  <w:color w:val="000000"/>
                                  <w:sz w:val="18"/>
                                  <w:szCs w:val="18"/>
                                </w:rPr>
                              </w:pP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bl>
                <w:p w:rsidR="00C06148" w:rsidRPr="00C06148" w:rsidRDefault="00C06148" w:rsidP="00C06148">
                  <w:pPr>
                    <w:spacing w:after="192" w:line="360" w:lineRule="atLeast"/>
                    <w:rPr>
                      <w:rFonts w:ascii="Verdana" w:eastAsia="Times New Roman" w:hAnsi="Verdana" w:cs="Times New Roman"/>
                      <w:color w:val="000000"/>
                      <w:sz w:val="18"/>
                      <w:szCs w:val="18"/>
                    </w:rPr>
                  </w:pPr>
                </w:p>
              </w:tc>
            </w:tr>
          </w:tbl>
          <w:p w:rsidR="00C06148" w:rsidRPr="00C06148" w:rsidRDefault="00C06148" w:rsidP="00C06148">
            <w:pPr>
              <w:spacing w:after="0" w:line="240" w:lineRule="auto"/>
              <w:rPr>
                <w:rFonts w:ascii="Verdana" w:eastAsia="Times New Roman" w:hAnsi="Verdana" w:cs="Times New Roman"/>
                <w:color w:val="000000"/>
                <w:sz w:val="20"/>
                <w:szCs w:val="20"/>
              </w:rPr>
            </w:pPr>
          </w:p>
        </w:tc>
      </w:tr>
    </w:tbl>
    <w:p w:rsidR="00150B71" w:rsidRDefault="00150B71"/>
    <w:sectPr w:rsidR="0015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48"/>
    <w:rsid w:val="00150B71"/>
    <w:rsid w:val="00C0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E747"/>
  <w15:chartTrackingRefBased/>
  <w15:docId w15:val="{14B846F7-F0AD-4310-A4ED-713AC761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148"/>
    <w:pPr>
      <w:spacing w:after="192" w:line="360" w:lineRule="atLeas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934">
      <w:bodyDiv w:val="1"/>
      <w:marLeft w:val="0"/>
      <w:marRight w:val="0"/>
      <w:marTop w:val="0"/>
      <w:marBottom w:val="0"/>
      <w:divBdr>
        <w:top w:val="none" w:sz="0" w:space="0" w:color="auto"/>
        <w:left w:val="none" w:sz="0" w:space="0" w:color="auto"/>
        <w:bottom w:val="none" w:sz="0" w:space="0" w:color="auto"/>
        <w:right w:val="none" w:sz="0" w:space="0" w:color="auto"/>
      </w:divBdr>
      <w:divsChild>
        <w:div w:id="2002273101">
          <w:marLeft w:val="0"/>
          <w:marRight w:val="0"/>
          <w:marTop w:val="0"/>
          <w:marBottom w:val="0"/>
          <w:divBdr>
            <w:top w:val="none" w:sz="0" w:space="0" w:color="auto"/>
            <w:left w:val="none" w:sz="0" w:space="0" w:color="auto"/>
            <w:bottom w:val="none" w:sz="0" w:space="0" w:color="auto"/>
            <w:right w:val="none" w:sz="0" w:space="0" w:color="auto"/>
          </w:divBdr>
          <w:divsChild>
            <w:div w:id="1701006054">
              <w:marLeft w:val="0"/>
              <w:marRight w:val="0"/>
              <w:marTop w:val="300"/>
              <w:marBottom w:val="300"/>
              <w:divBdr>
                <w:top w:val="none" w:sz="0" w:space="0" w:color="auto"/>
                <w:left w:val="none" w:sz="0" w:space="0" w:color="auto"/>
                <w:bottom w:val="none" w:sz="0" w:space="0" w:color="auto"/>
                <w:right w:val="none" w:sz="0" w:space="0" w:color="auto"/>
              </w:divBdr>
              <w:divsChild>
                <w:div w:id="1464082644">
                  <w:marLeft w:val="0"/>
                  <w:marRight w:val="0"/>
                  <w:marTop w:val="0"/>
                  <w:marBottom w:val="0"/>
                  <w:divBdr>
                    <w:top w:val="none" w:sz="0" w:space="0" w:color="auto"/>
                    <w:left w:val="none" w:sz="0" w:space="0" w:color="auto"/>
                    <w:bottom w:val="none" w:sz="0" w:space="0" w:color="auto"/>
                    <w:right w:val="none" w:sz="0" w:space="0" w:color="auto"/>
                  </w:divBdr>
                  <w:divsChild>
                    <w:div w:id="1905532155">
                      <w:marLeft w:val="0"/>
                      <w:marRight w:val="0"/>
                      <w:marTop w:val="150"/>
                      <w:marBottom w:val="150"/>
                      <w:divBdr>
                        <w:top w:val="none" w:sz="0" w:space="0" w:color="auto"/>
                        <w:left w:val="none" w:sz="0" w:space="0" w:color="auto"/>
                        <w:bottom w:val="none" w:sz="0" w:space="0" w:color="auto"/>
                        <w:right w:val="none" w:sz="0" w:space="0" w:color="auto"/>
                      </w:divBdr>
                      <w:divsChild>
                        <w:div w:id="575826597">
                          <w:marLeft w:val="0"/>
                          <w:marRight w:val="0"/>
                          <w:marTop w:val="0"/>
                          <w:marBottom w:val="0"/>
                          <w:divBdr>
                            <w:top w:val="none" w:sz="0" w:space="0" w:color="auto"/>
                            <w:left w:val="none" w:sz="0" w:space="0" w:color="auto"/>
                            <w:bottom w:val="none" w:sz="0" w:space="0" w:color="auto"/>
                            <w:right w:val="none" w:sz="0" w:space="0" w:color="auto"/>
                          </w:divBdr>
                          <w:divsChild>
                            <w:div w:id="127749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525325">
      <w:bodyDiv w:val="1"/>
      <w:marLeft w:val="0"/>
      <w:marRight w:val="0"/>
      <w:marTop w:val="0"/>
      <w:marBottom w:val="0"/>
      <w:divBdr>
        <w:top w:val="none" w:sz="0" w:space="0" w:color="auto"/>
        <w:left w:val="none" w:sz="0" w:space="0" w:color="auto"/>
        <w:bottom w:val="none" w:sz="0" w:space="0" w:color="auto"/>
        <w:right w:val="none" w:sz="0" w:space="0" w:color="auto"/>
      </w:divBdr>
      <w:divsChild>
        <w:div w:id="426851193">
          <w:marLeft w:val="0"/>
          <w:marRight w:val="0"/>
          <w:marTop w:val="0"/>
          <w:marBottom w:val="0"/>
          <w:divBdr>
            <w:top w:val="none" w:sz="0" w:space="0" w:color="auto"/>
            <w:left w:val="none" w:sz="0" w:space="0" w:color="auto"/>
            <w:bottom w:val="none" w:sz="0" w:space="0" w:color="auto"/>
            <w:right w:val="none" w:sz="0" w:space="0" w:color="auto"/>
          </w:divBdr>
          <w:divsChild>
            <w:div w:id="1636447653">
              <w:marLeft w:val="0"/>
              <w:marRight w:val="0"/>
              <w:marTop w:val="300"/>
              <w:marBottom w:val="300"/>
              <w:divBdr>
                <w:top w:val="none" w:sz="0" w:space="0" w:color="auto"/>
                <w:left w:val="none" w:sz="0" w:space="0" w:color="auto"/>
                <w:bottom w:val="none" w:sz="0" w:space="0" w:color="auto"/>
                <w:right w:val="none" w:sz="0" w:space="0" w:color="auto"/>
              </w:divBdr>
              <w:divsChild>
                <w:div w:id="890190174">
                  <w:marLeft w:val="0"/>
                  <w:marRight w:val="0"/>
                  <w:marTop w:val="0"/>
                  <w:marBottom w:val="0"/>
                  <w:divBdr>
                    <w:top w:val="none" w:sz="0" w:space="0" w:color="auto"/>
                    <w:left w:val="none" w:sz="0" w:space="0" w:color="auto"/>
                    <w:bottom w:val="none" w:sz="0" w:space="0" w:color="auto"/>
                    <w:right w:val="none" w:sz="0" w:space="0" w:color="auto"/>
                  </w:divBdr>
                  <w:divsChild>
                    <w:div w:id="1197162488">
                      <w:marLeft w:val="0"/>
                      <w:marRight w:val="0"/>
                      <w:marTop w:val="150"/>
                      <w:marBottom w:val="150"/>
                      <w:divBdr>
                        <w:top w:val="none" w:sz="0" w:space="0" w:color="auto"/>
                        <w:left w:val="none" w:sz="0" w:space="0" w:color="auto"/>
                        <w:bottom w:val="none" w:sz="0" w:space="0" w:color="auto"/>
                        <w:right w:val="none" w:sz="0" w:space="0" w:color="auto"/>
                      </w:divBdr>
                      <w:divsChild>
                        <w:div w:id="1099451646">
                          <w:marLeft w:val="0"/>
                          <w:marRight w:val="0"/>
                          <w:marTop w:val="0"/>
                          <w:marBottom w:val="0"/>
                          <w:divBdr>
                            <w:top w:val="none" w:sz="0" w:space="0" w:color="auto"/>
                            <w:left w:val="none" w:sz="0" w:space="0" w:color="auto"/>
                            <w:bottom w:val="none" w:sz="0" w:space="0" w:color="auto"/>
                            <w:right w:val="none" w:sz="0" w:space="0" w:color="auto"/>
                          </w:divBdr>
                          <w:divsChild>
                            <w:div w:id="1603032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79456">
      <w:bodyDiv w:val="1"/>
      <w:marLeft w:val="0"/>
      <w:marRight w:val="0"/>
      <w:marTop w:val="0"/>
      <w:marBottom w:val="0"/>
      <w:divBdr>
        <w:top w:val="none" w:sz="0" w:space="0" w:color="auto"/>
        <w:left w:val="none" w:sz="0" w:space="0" w:color="auto"/>
        <w:bottom w:val="none" w:sz="0" w:space="0" w:color="auto"/>
        <w:right w:val="none" w:sz="0" w:space="0" w:color="auto"/>
      </w:divBdr>
      <w:divsChild>
        <w:div w:id="48767363">
          <w:marLeft w:val="0"/>
          <w:marRight w:val="0"/>
          <w:marTop w:val="0"/>
          <w:marBottom w:val="0"/>
          <w:divBdr>
            <w:top w:val="none" w:sz="0" w:space="0" w:color="auto"/>
            <w:left w:val="none" w:sz="0" w:space="0" w:color="auto"/>
            <w:bottom w:val="none" w:sz="0" w:space="0" w:color="auto"/>
            <w:right w:val="none" w:sz="0" w:space="0" w:color="auto"/>
          </w:divBdr>
          <w:divsChild>
            <w:div w:id="1908026788">
              <w:marLeft w:val="0"/>
              <w:marRight w:val="0"/>
              <w:marTop w:val="300"/>
              <w:marBottom w:val="300"/>
              <w:divBdr>
                <w:top w:val="none" w:sz="0" w:space="0" w:color="auto"/>
                <w:left w:val="none" w:sz="0" w:space="0" w:color="auto"/>
                <w:bottom w:val="none" w:sz="0" w:space="0" w:color="auto"/>
                <w:right w:val="none" w:sz="0" w:space="0" w:color="auto"/>
              </w:divBdr>
              <w:divsChild>
                <w:div w:id="1652517378">
                  <w:marLeft w:val="0"/>
                  <w:marRight w:val="0"/>
                  <w:marTop w:val="0"/>
                  <w:marBottom w:val="0"/>
                  <w:divBdr>
                    <w:top w:val="none" w:sz="0" w:space="0" w:color="auto"/>
                    <w:left w:val="none" w:sz="0" w:space="0" w:color="auto"/>
                    <w:bottom w:val="none" w:sz="0" w:space="0" w:color="auto"/>
                    <w:right w:val="none" w:sz="0" w:space="0" w:color="auto"/>
                  </w:divBdr>
                  <w:divsChild>
                    <w:div w:id="960692263">
                      <w:marLeft w:val="0"/>
                      <w:marRight w:val="0"/>
                      <w:marTop w:val="150"/>
                      <w:marBottom w:val="150"/>
                      <w:divBdr>
                        <w:top w:val="none" w:sz="0" w:space="0" w:color="auto"/>
                        <w:left w:val="none" w:sz="0" w:space="0" w:color="auto"/>
                        <w:bottom w:val="none" w:sz="0" w:space="0" w:color="auto"/>
                        <w:right w:val="none" w:sz="0" w:space="0" w:color="auto"/>
                      </w:divBdr>
                      <w:divsChild>
                        <w:div w:id="1002010467">
                          <w:marLeft w:val="0"/>
                          <w:marRight w:val="0"/>
                          <w:marTop w:val="0"/>
                          <w:marBottom w:val="0"/>
                          <w:divBdr>
                            <w:top w:val="none" w:sz="0" w:space="0" w:color="auto"/>
                            <w:left w:val="none" w:sz="0" w:space="0" w:color="auto"/>
                            <w:bottom w:val="none" w:sz="0" w:space="0" w:color="auto"/>
                            <w:right w:val="none" w:sz="0" w:space="0" w:color="auto"/>
                          </w:divBdr>
                          <w:divsChild>
                            <w:div w:id="1465272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542831">
      <w:bodyDiv w:val="1"/>
      <w:marLeft w:val="0"/>
      <w:marRight w:val="0"/>
      <w:marTop w:val="0"/>
      <w:marBottom w:val="0"/>
      <w:divBdr>
        <w:top w:val="none" w:sz="0" w:space="0" w:color="auto"/>
        <w:left w:val="none" w:sz="0" w:space="0" w:color="auto"/>
        <w:bottom w:val="none" w:sz="0" w:space="0" w:color="auto"/>
        <w:right w:val="none" w:sz="0" w:space="0" w:color="auto"/>
      </w:divBdr>
      <w:divsChild>
        <w:div w:id="54668343">
          <w:marLeft w:val="0"/>
          <w:marRight w:val="0"/>
          <w:marTop w:val="0"/>
          <w:marBottom w:val="0"/>
          <w:divBdr>
            <w:top w:val="none" w:sz="0" w:space="0" w:color="auto"/>
            <w:left w:val="none" w:sz="0" w:space="0" w:color="auto"/>
            <w:bottom w:val="none" w:sz="0" w:space="0" w:color="auto"/>
            <w:right w:val="none" w:sz="0" w:space="0" w:color="auto"/>
          </w:divBdr>
          <w:divsChild>
            <w:div w:id="1361739158">
              <w:marLeft w:val="0"/>
              <w:marRight w:val="0"/>
              <w:marTop w:val="300"/>
              <w:marBottom w:val="300"/>
              <w:divBdr>
                <w:top w:val="none" w:sz="0" w:space="0" w:color="auto"/>
                <w:left w:val="none" w:sz="0" w:space="0" w:color="auto"/>
                <w:bottom w:val="none" w:sz="0" w:space="0" w:color="auto"/>
                <w:right w:val="none" w:sz="0" w:space="0" w:color="auto"/>
              </w:divBdr>
              <w:divsChild>
                <w:div w:id="612515583">
                  <w:marLeft w:val="0"/>
                  <w:marRight w:val="0"/>
                  <w:marTop w:val="0"/>
                  <w:marBottom w:val="0"/>
                  <w:divBdr>
                    <w:top w:val="none" w:sz="0" w:space="0" w:color="auto"/>
                    <w:left w:val="none" w:sz="0" w:space="0" w:color="auto"/>
                    <w:bottom w:val="none" w:sz="0" w:space="0" w:color="auto"/>
                    <w:right w:val="none" w:sz="0" w:space="0" w:color="auto"/>
                  </w:divBdr>
                  <w:divsChild>
                    <w:div w:id="1632903448">
                      <w:marLeft w:val="0"/>
                      <w:marRight w:val="0"/>
                      <w:marTop w:val="150"/>
                      <w:marBottom w:val="150"/>
                      <w:divBdr>
                        <w:top w:val="none" w:sz="0" w:space="0" w:color="auto"/>
                        <w:left w:val="none" w:sz="0" w:space="0" w:color="auto"/>
                        <w:bottom w:val="none" w:sz="0" w:space="0" w:color="auto"/>
                        <w:right w:val="none" w:sz="0" w:space="0" w:color="auto"/>
                      </w:divBdr>
                      <w:divsChild>
                        <w:div w:id="409933468">
                          <w:marLeft w:val="0"/>
                          <w:marRight w:val="0"/>
                          <w:marTop w:val="0"/>
                          <w:marBottom w:val="0"/>
                          <w:divBdr>
                            <w:top w:val="none" w:sz="0" w:space="0" w:color="auto"/>
                            <w:left w:val="none" w:sz="0" w:space="0" w:color="auto"/>
                            <w:bottom w:val="none" w:sz="0" w:space="0" w:color="auto"/>
                            <w:right w:val="none" w:sz="0" w:space="0" w:color="auto"/>
                          </w:divBdr>
                          <w:divsChild>
                            <w:div w:id="4441568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4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7161">
          <w:marLeft w:val="0"/>
          <w:marRight w:val="0"/>
          <w:marTop w:val="0"/>
          <w:marBottom w:val="0"/>
          <w:divBdr>
            <w:top w:val="none" w:sz="0" w:space="0" w:color="auto"/>
            <w:left w:val="none" w:sz="0" w:space="0" w:color="auto"/>
            <w:bottom w:val="none" w:sz="0" w:space="0" w:color="auto"/>
            <w:right w:val="none" w:sz="0" w:space="0" w:color="auto"/>
          </w:divBdr>
          <w:divsChild>
            <w:div w:id="1798254208">
              <w:marLeft w:val="0"/>
              <w:marRight w:val="0"/>
              <w:marTop w:val="300"/>
              <w:marBottom w:val="300"/>
              <w:divBdr>
                <w:top w:val="none" w:sz="0" w:space="0" w:color="auto"/>
                <w:left w:val="none" w:sz="0" w:space="0" w:color="auto"/>
                <w:bottom w:val="none" w:sz="0" w:space="0" w:color="auto"/>
                <w:right w:val="none" w:sz="0" w:space="0" w:color="auto"/>
              </w:divBdr>
              <w:divsChild>
                <w:div w:id="803429835">
                  <w:marLeft w:val="0"/>
                  <w:marRight w:val="0"/>
                  <w:marTop w:val="0"/>
                  <w:marBottom w:val="0"/>
                  <w:divBdr>
                    <w:top w:val="none" w:sz="0" w:space="0" w:color="auto"/>
                    <w:left w:val="none" w:sz="0" w:space="0" w:color="auto"/>
                    <w:bottom w:val="none" w:sz="0" w:space="0" w:color="auto"/>
                    <w:right w:val="none" w:sz="0" w:space="0" w:color="auto"/>
                  </w:divBdr>
                  <w:divsChild>
                    <w:div w:id="836073135">
                      <w:marLeft w:val="0"/>
                      <w:marRight w:val="0"/>
                      <w:marTop w:val="150"/>
                      <w:marBottom w:val="150"/>
                      <w:divBdr>
                        <w:top w:val="none" w:sz="0" w:space="0" w:color="auto"/>
                        <w:left w:val="none" w:sz="0" w:space="0" w:color="auto"/>
                        <w:bottom w:val="none" w:sz="0" w:space="0" w:color="auto"/>
                        <w:right w:val="none" w:sz="0" w:space="0" w:color="auto"/>
                      </w:divBdr>
                      <w:divsChild>
                        <w:div w:id="1531409744">
                          <w:marLeft w:val="0"/>
                          <w:marRight w:val="0"/>
                          <w:marTop w:val="0"/>
                          <w:marBottom w:val="0"/>
                          <w:divBdr>
                            <w:top w:val="none" w:sz="0" w:space="0" w:color="auto"/>
                            <w:left w:val="none" w:sz="0" w:space="0" w:color="auto"/>
                            <w:bottom w:val="none" w:sz="0" w:space="0" w:color="auto"/>
                            <w:right w:val="none" w:sz="0" w:space="0" w:color="auto"/>
                          </w:divBdr>
                          <w:divsChild>
                            <w:div w:id="304355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61912">
      <w:bodyDiv w:val="1"/>
      <w:marLeft w:val="0"/>
      <w:marRight w:val="0"/>
      <w:marTop w:val="0"/>
      <w:marBottom w:val="0"/>
      <w:divBdr>
        <w:top w:val="none" w:sz="0" w:space="0" w:color="auto"/>
        <w:left w:val="none" w:sz="0" w:space="0" w:color="auto"/>
        <w:bottom w:val="none" w:sz="0" w:space="0" w:color="auto"/>
        <w:right w:val="none" w:sz="0" w:space="0" w:color="auto"/>
      </w:divBdr>
      <w:divsChild>
        <w:div w:id="1169831902">
          <w:marLeft w:val="0"/>
          <w:marRight w:val="0"/>
          <w:marTop w:val="0"/>
          <w:marBottom w:val="0"/>
          <w:divBdr>
            <w:top w:val="none" w:sz="0" w:space="0" w:color="auto"/>
            <w:left w:val="none" w:sz="0" w:space="0" w:color="auto"/>
            <w:bottom w:val="none" w:sz="0" w:space="0" w:color="auto"/>
            <w:right w:val="none" w:sz="0" w:space="0" w:color="auto"/>
          </w:divBdr>
          <w:divsChild>
            <w:div w:id="1666200278">
              <w:marLeft w:val="0"/>
              <w:marRight w:val="0"/>
              <w:marTop w:val="300"/>
              <w:marBottom w:val="300"/>
              <w:divBdr>
                <w:top w:val="none" w:sz="0" w:space="0" w:color="auto"/>
                <w:left w:val="none" w:sz="0" w:space="0" w:color="auto"/>
                <w:bottom w:val="none" w:sz="0" w:space="0" w:color="auto"/>
                <w:right w:val="none" w:sz="0" w:space="0" w:color="auto"/>
              </w:divBdr>
              <w:divsChild>
                <w:div w:id="925652787">
                  <w:marLeft w:val="0"/>
                  <w:marRight w:val="0"/>
                  <w:marTop w:val="0"/>
                  <w:marBottom w:val="0"/>
                  <w:divBdr>
                    <w:top w:val="none" w:sz="0" w:space="0" w:color="auto"/>
                    <w:left w:val="none" w:sz="0" w:space="0" w:color="auto"/>
                    <w:bottom w:val="none" w:sz="0" w:space="0" w:color="auto"/>
                    <w:right w:val="none" w:sz="0" w:space="0" w:color="auto"/>
                  </w:divBdr>
                  <w:divsChild>
                    <w:div w:id="897668013">
                      <w:marLeft w:val="0"/>
                      <w:marRight w:val="0"/>
                      <w:marTop w:val="150"/>
                      <w:marBottom w:val="150"/>
                      <w:divBdr>
                        <w:top w:val="none" w:sz="0" w:space="0" w:color="auto"/>
                        <w:left w:val="none" w:sz="0" w:space="0" w:color="auto"/>
                        <w:bottom w:val="none" w:sz="0" w:space="0" w:color="auto"/>
                        <w:right w:val="none" w:sz="0" w:space="0" w:color="auto"/>
                      </w:divBdr>
                      <w:divsChild>
                        <w:div w:id="618922799">
                          <w:marLeft w:val="0"/>
                          <w:marRight w:val="0"/>
                          <w:marTop w:val="0"/>
                          <w:marBottom w:val="0"/>
                          <w:divBdr>
                            <w:top w:val="none" w:sz="0" w:space="0" w:color="auto"/>
                            <w:left w:val="none" w:sz="0" w:space="0" w:color="auto"/>
                            <w:bottom w:val="none" w:sz="0" w:space="0" w:color="auto"/>
                            <w:right w:val="none" w:sz="0" w:space="0" w:color="auto"/>
                          </w:divBdr>
                          <w:divsChild>
                            <w:div w:id="1968006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033091">
      <w:bodyDiv w:val="1"/>
      <w:marLeft w:val="0"/>
      <w:marRight w:val="0"/>
      <w:marTop w:val="0"/>
      <w:marBottom w:val="0"/>
      <w:divBdr>
        <w:top w:val="none" w:sz="0" w:space="0" w:color="auto"/>
        <w:left w:val="none" w:sz="0" w:space="0" w:color="auto"/>
        <w:bottom w:val="none" w:sz="0" w:space="0" w:color="auto"/>
        <w:right w:val="none" w:sz="0" w:space="0" w:color="auto"/>
      </w:divBdr>
      <w:divsChild>
        <w:div w:id="29652973">
          <w:marLeft w:val="0"/>
          <w:marRight w:val="0"/>
          <w:marTop w:val="0"/>
          <w:marBottom w:val="0"/>
          <w:divBdr>
            <w:top w:val="none" w:sz="0" w:space="0" w:color="auto"/>
            <w:left w:val="none" w:sz="0" w:space="0" w:color="auto"/>
            <w:bottom w:val="none" w:sz="0" w:space="0" w:color="auto"/>
            <w:right w:val="none" w:sz="0" w:space="0" w:color="auto"/>
          </w:divBdr>
          <w:divsChild>
            <w:div w:id="328943324">
              <w:marLeft w:val="0"/>
              <w:marRight w:val="0"/>
              <w:marTop w:val="300"/>
              <w:marBottom w:val="300"/>
              <w:divBdr>
                <w:top w:val="none" w:sz="0" w:space="0" w:color="auto"/>
                <w:left w:val="none" w:sz="0" w:space="0" w:color="auto"/>
                <w:bottom w:val="none" w:sz="0" w:space="0" w:color="auto"/>
                <w:right w:val="none" w:sz="0" w:space="0" w:color="auto"/>
              </w:divBdr>
              <w:divsChild>
                <w:div w:id="1070078815">
                  <w:marLeft w:val="0"/>
                  <w:marRight w:val="0"/>
                  <w:marTop w:val="0"/>
                  <w:marBottom w:val="0"/>
                  <w:divBdr>
                    <w:top w:val="none" w:sz="0" w:space="0" w:color="auto"/>
                    <w:left w:val="none" w:sz="0" w:space="0" w:color="auto"/>
                    <w:bottom w:val="none" w:sz="0" w:space="0" w:color="auto"/>
                    <w:right w:val="none" w:sz="0" w:space="0" w:color="auto"/>
                  </w:divBdr>
                  <w:divsChild>
                    <w:div w:id="1758594634">
                      <w:marLeft w:val="0"/>
                      <w:marRight w:val="0"/>
                      <w:marTop w:val="150"/>
                      <w:marBottom w:val="150"/>
                      <w:divBdr>
                        <w:top w:val="none" w:sz="0" w:space="0" w:color="auto"/>
                        <w:left w:val="none" w:sz="0" w:space="0" w:color="auto"/>
                        <w:bottom w:val="none" w:sz="0" w:space="0" w:color="auto"/>
                        <w:right w:val="none" w:sz="0" w:space="0" w:color="auto"/>
                      </w:divBdr>
                      <w:divsChild>
                        <w:div w:id="2106917367">
                          <w:marLeft w:val="0"/>
                          <w:marRight w:val="0"/>
                          <w:marTop w:val="0"/>
                          <w:marBottom w:val="0"/>
                          <w:divBdr>
                            <w:top w:val="none" w:sz="0" w:space="0" w:color="auto"/>
                            <w:left w:val="none" w:sz="0" w:space="0" w:color="auto"/>
                            <w:bottom w:val="none" w:sz="0" w:space="0" w:color="auto"/>
                            <w:right w:val="none" w:sz="0" w:space="0" w:color="auto"/>
                          </w:divBdr>
                          <w:divsChild>
                            <w:div w:id="1657028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137481">
      <w:bodyDiv w:val="1"/>
      <w:marLeft w:val="0"/>
      <w:marRight w:val="0"/>
      <w:marTop w:val="0"/>
      <w:marBottom w:val="0"/>
      <w:divBdr>
        <w:top w:val="none" w:sz="0" w:space="0" w:color="auto"/>
        <w:left w:val="none" w:sz="0" w:space="0" w:color="auto"/>
        <w:bottom w:val="none" w:sz="0" w:space="0" w:color="auto"/>
        <w:right w:val="none" w:sz="0" w:space="0" w:color="auto"/>
      </w:divBdr>
      <w:divsChild>
        <w:div w:id="1729953828">
          <w:marLeft w:val="0"/>
          <w:marRight w:val="0"/>
          <w:marTop w:val="0"/>
          <w:marBottom w:val="0"/>
          <w:divBdr>
            <w:top w:val="none" w:sz="0" w:space="0" w:color="auto"/>
            <w:left w:val="none" w:sz="0" w:space="0" w:color="auto"/>
            <w:bottom w:val="none" w:sz="0" w:space="0" w:color="auto"/>
            <w:right w:val="none" w:sz="0" w:space="0" w:color="auto"/>
          </w:divBdr>
          <w:divsChild>
            <w:div w:id="763694287">
              <w:marLeft w:val="0"/>
              <w:marRight w:val="0"/>
              <w:marTop w:val="300"/>
              <w:marBottom w:val="300"/>
              <w:divBdr>
                <w:top w:val="none" w:sz="0" w:space="0" w:color="auto"/>
                <w:left w:val="none" w:sz="0" w:space="0" w:color="auto"/>
                <w:bottom w:val="none" w:sz="0" w:space="0" w:color="auto"/>
                <w:right w:val="none" w:sz="0" w:space="0" w:color="auto"/>
              </w:divBdr>
              <w:divsChild>
                <w:div w:id="1936550724">
                  <w:marLeft w:val="0"/>
                  <w:marRight w:val="0"/>
                  <w:marTop w:val="0"/>
                  <w:marBottom w:val="0"/>
                  <w:divBdr>
                    <w:top w:val="none" w:sz="0" w:space="0" w:color="auto"/>
                    <w:left w:val="none" w:sz="0" w:space="0" w:color="auto"/>
                    <w:bottom w:val="none" w:sz="0" w:space="0" w:color="auto"/>
                    <w:right w:val="none" w:sz="0" w:space="0" w:color="auto"/>
                  </w:divBdr>
                  <w:divsChild>
                    <w:div w:id="752288057">
                      <w:marLeft w:val="0"/>
                      <w:marRight w:val="0"/>
                      <w:marTop w:val="150"/>
                      <w:marBottom w:val="150"/>
                      <w:divBdr>
                        <w:top w:val="none" w:sz="0" w:space="0" w:color="auto"/>
                        <w:left w:val="none" w:sz="0" w:space="0" w:color="auto"/>
                        <w:bottom w:val="none" w:sz="0" w:space="0" w:color="auto"/>
                        <w:right w:val="none" w:sz="0" w:space="0" w:color="auto"/>
                      </w:divBdr>
                      <w:divsChild>
                        <w:div w:id="2010057386">
                          <w:marLeft w:val="0"/>
                          <w:marRight w:val="0"/>
                          <w:marTop w:val="0"/>
                          <w:marBottom w:val="0"/>
                          <w:divBdr>
                            <w:top w:val="none" w:sz="0" w:space="0" w:color="auto"/>
                            <w:left w:val="none" w:sz="0" w:space="0" w:color="auto"/>
                            <w:bottom w:val="none" w:sz="0" w:space="0" w:color="auto"/>
                            <w:right w:val="none" w:sz="0" w:space="0" w:color="auto"/>
                          </w:divBdr>
                          <w:divsChild>
                            <w:div w:id="258106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2845">
      <w:bodyDiv w:val="1"/>
      <w:marLeft w:val="0"/>
      <w:marRight w:val="0"/>
      <w:marTop w:val="0"/>
      <w:marBottom w:val="0"/>
      <w:divBdr>
        <w:top w:val="none" w:sz="0" w:space="0" w:color="auto"/>
        <w:left w:val="none" w:sz="0" w:space="0" w:color="auto"/>
        <w:bottom w:val="none" w:sz="0" w:space="0" w:color="auto"/>
        <w:right w:val="none" w:sz="0" w:space="0" w:color="auto"/>
      </w:divBdr>
      <w:divsChild>
        <w:div w:id="633174874">
          <w:marLeft w:val="0"/>
          <w:marRight w:val="0"/>
          <w:marTop w:val="0"/>
          <w:marBottom w:val="0"/>
          <w:divBdr>
            <w:top w:val="none" w:sz="0" w:space="0" w:color="auto"/>
            <w:left w:val="none" w:sz="0" w:space="0" w:color="auto"/>
            <w:bottom w:val="none" w:sz="0" w:space="0" w:color="auto"/>
            <w:right w:val="none" w:sz="0" w:space="0" w:color="auto"/>
          </w:divBdr>
          <w:divsChild>
            <w:div w:id="235016981">
              <w:marLeft w:val="0"/>
              <w:marRight w:val="0"/>
              <w:marTop w:val="300"/>
              <w:marBottom w:val="300"/>
              <w:divBdr>
                <w:top w:val="none" w:sz="0" w:space="0" w:color="auto"/>
                <w:left w:val="none" w:sz="0" w:space="0" w:color="auto"/>
                <w:bottom w:val="none" w:sz="0" w:space="0" w:color="auto"/>
                <w:right w:val="none" w:sz="0" w:space="0" w:color="auto"/>
              </w:divBdr>
              <w:divsChild>
                <w:div w:id="221715458">
                  <w:marLeft w:val="0"/>
                  <w:marRight w:val="0"/>
                  <w:marTop w:val="0"/>
                  <w:marBottom w:val="0"/>
                  <w:divBdr>
                    <w:top w:val="none" w:sz="0" w:space="0" w:color="auto"/>
                    <w:left w:val="none" w:sz="0" w:space="0" w:color="auto"/>
                    <w:bottom w:val="none" w:sz="0" w:space="0" w:color="auto"/>
                    <w:right w:val="none" w:sz="0" w:space="0" w:color="auto"/>
                  </w:divBdr>
                  <w:divsChild>
                    <w:div w:id="1504391252">
                      <w:marLeft w:val="0"/>
                      <w:marRight w:val="0"/>
                      <w:marTop w:val="150"/>
                      <w:marBottom w:val="150"/>
                      <w:divBdr>
                        <w:top w:val="none" w:sz="0" w:space="0" w:color="auto"/>
                        <w:left w:val="none" w:sz="0" w:space="0" w:color="auto"/>
                        <w:bottom w:val="none" w:sz="0" w:space="0" w:color="auto"/>
                        <w:right w:val="none" w:sz="0" w:space="0" w:color="auto"/>
                      </w:divBdr>
                      <w:divsChild>
                        <w:div w:id="1614752787">
                          <w:marLeft w:val="0"/>
                          <w:marRight w:val="0"/>
                          <w:marTop w:val="0"/>
                          <w:marBottom w:val="0"/>
                          <w:divBdr>
                            <w:top w:val="none" w:sz="0" w:space="0" w:color="auto"/>
                            <w:left w:val="none" w:sz="0" w:space="0" w:color="auto"/>
                            <w:bottom w:val="none" w:sz="0" w:space="0" w:color="auto"/>
                            <w:right w:val="none" w:sz="0" w:space="0" w:color="auto"/>
                          </w:divBdr>
                          <w:divsChild>
                            <w:div w:id="908198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352774">
      <w:bodyDiv w:val="1"/>
      <w:marLeft w:val="0"/>
      <w:marRight w:val="0"/>
      <w:marTop w:val="0"/>
      <w:marBottom w:val="0"/>
      <w:divBdr>
        <w:top w:val="none" w:sz="0" w:space="0" w:color="auto"/>
        <w:left w:val="none" w:sz="0" w:space="0" w:color="auto"/>
        <w:bottom w:val="none" w:sz="0" w:space="0" w:color="auto"/>
        <w:right w:val="none" w:sz="0" w:space="0" w:color="auto"/>
      </w:divBdr>
      <w:divsChild>
        <w:div w:id="1186284468">
          <w:marLeft w:val="0"/>
          <w:marRight w:val="0"/>
          <w:marTop w:val="0"/>
          <w:marBottom w:val="0"/>
          <w:divBdr>
            <w:top w:val="none" w:sz="0" w:space="0" w:color="auto"/>
            <w:left w:val="none" w:sz="0" w:space="0" w:color="auto"/>
            <w:bottom w:val="none" w:sz="0" w:space="0" w:color="auto"/>
            <w:right w:val="none" w:sz="0" w:space="0" w:color="auto"/>
          </w:divBdr>
          <w:divsChild>
            <w:div w:id="1048453991">
              <w:marLeft w:val="0"/>
              <w:marRight w:val="0"/>
              <w:marTop w:val="300"/>
              <w:marBottom w:val="300"/>
              <w:divBdr>
                <w:top w:val="none" w:sz="0" w:space="0" w:color="auto"/>
                <w:left w:val="none" w:sz="0" w:space="0" w:color="auto"/>
                <w:bottom w:val="none" w:sz="0" w:space="0" w:color="auto"/>
                <w:right w:val="none" w:sz="0" w:space="0" w:color="auto"/>
              </w:divBdr>
              <w:divsChild>
                <w:div w:id="1921401719">
                  <w:marLeft w:val="0"/>
                  <w:marRight w:val="0"/>
                  <w:marTop w:val="0"/>
                  <w:marBottom w:val="0"/>
                  <w:divBdr>
                    <w:top w:val="none" w:sz="0" w:space="0" w:color="auto"/>
                    <w:left w:val="none" w:sz="0" w:space="0" w:color="auto"/>
                    <w:bottom w:val="none" w:sz="0" w:space="0" w:color="auto"/>
                    <w:right w:val="none" w:sz="0" w:space="0" w:color="auto"/>
                  </w:divBdr>
                  <w:divsChild>
                    <w:div w:id="748698548">
                      <w:marLeft w:val="0"/>
                      <w:marRight w:val="0"/>
                      <w:marTop w:val="150"/>
                      <w:marBottom w:val="150"/>
                      <w:divBdr>
                        <w:top w:val="none" w:sz="0" w:space="0" w:color="auto"/>
                        <w:left w:val="none" w:sz="0" w:space="0" w:color="auto"/>
                        <w:bottom w:val="none" w:sz="0" w:space="0" w:color="auto"/>
                        <w:right w:val="none" w:sz="0" w:space="0" w:color="auto"/>
                      </w:divBdr>
                      <w:divsChild>
                        <w:div w:id="1660696921">
                          <w:marLeft w:val="0"/>
                          <w:marRight w:val="0"/>
                          <w:marTop w:val="0"/>
                          <w:marBottom w:val="0"/>
                          <w:divBdr>
                            <w:top w:val="none" w:sz="0" w:space="0" w:color="auto"/>
                            <w:left w:val="none" w:sz="0" w:space="0" w:color="auto"/>
                            <w:bottom w:val="none" w:sz="0" w:space="0" w:color="auto"/>
                            <w:right w:val="none" w:sz="0" w:space="0" w:color="auto"/>
                          </w:divBdr>
                          <w:divsChild>
                            <w:div w:id="9012091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84250">
      <w:bodyDiv w:val="1"/>
      <w:marLeft w:val="0"/>
      <w:marRight w:val="0"/>
      <w:marTop w:val="0"/>
      <w:marBottom w:val="0"/>
      <w:divBdr>
        <w:top w:val="none" w:sz="0" w:space="0" w:color="auto"/>
        <w:left w:val="none" w:sz="0" w:space="0" w:color="auto"/>
        <w:bottom w:val="none" w:sz="0" w:space="0" w:color="auto"/>
        <w:right w:val="none" w:sz="0" w:space="0" w:color="auto"/>
      </w:divBdr>
      <w:divsChild>
        <w:div w:id="993997036">
          <w:marLeft w:val="0"/>
          <w:marRight w:val="0"/>
          <w:marTop w:val="0"/>
          <w:marBottom w:val="0"/>
          <w:divBdr>
            <w:top w:val="none" w:sz="0" w:space="0" w:color="auto"/>
            <w:left w:val="none" w:sz="0" w:space="0" w:color="auto"/>
            <w:bottom w:val="none" w:sz="0" w:space="0" w:color="auto"/>
            <w:right w:val="none" w:sz="0" w:space="0" w:color="auto"/>
          </w:divBdr>
          <w:divsChild>
            <w:div w:id="462620100">
              <w:marLeft w:val="0"/>
              <w:marRight w:val="0"/>
              <w:marTop w:val="300"/>
              <w:marBottom w:val="300"/>
              <w:divBdr>
                <w:top w:val="none" w:sz="0" w:space="0" w:color="auto"/>
                <w:left w:val="none" w:sz="0" w:space="0" w:color="auto"/>
                <w:bottom w:val="none" w:sz="0" w:space="0" w:color="auto"/>
                <w:right w:val="none" w:sz="0" w:space="0" w:color="auto"/>
              </w:divBdr>
              <w:divsChild>
                <w:div w:id="36398244">
                  <w:marLeft w:val="0"/>
                  <w:marRight w:val="0"/>
                  <w:marTop w:val="0"/>
                  <w:marBottom w:val="0"/>
                  <w:divBdr>
                    <w:top w:val="none" w:sz="0" w:space="0" w:color="auto"/>
                    <w:left w:val="none" w:sz="0" w:space="0" w:color="auto"/>
                    <w:bottom w:val="none" w:sz="0" w:space="0" w:color="auto"/>
                    <w:right w:val="none" w:sz="0" w:space="0" w:color="auto"/>
                  </w:divBdr>
                  <w:divsChild>
                    <w:div w:id="2017535285">
                      <w:marLeft w:val="0"/>
                      <w:marRight w:val="0"/>
                      <w:marTop w:val="150"/>
                      <w:marBottom w:val="150"/>
                      <w:divBdr>
                        <w:top w:val="none" w:sz="0" w:space="0" w:color="auto"/>
                        <w:left w:val="none" w:sz="0" w:space="0" w:color="auto"/>
                        <w:bottom w:val="none" w:sz="0" w:space="0" w:color="auto"/>
                        <w:right w:val="none" w:sz="0" w:space="0" w:color="auto"/>
                      </w:divBdr>
                      <w:divsChild>
                        <w:div w:id="1290623636">
                          <w:marLeft w:val="0"/>
                          <w:marRight w:val="0"/>
                          <w:marTop w:val="0"/>
                          <w:marBottom w:val="0"/>
                          <w:divBdr>
                            <w:top w:val="none" w:sz="0" w:space="0" w:color="auto"/>
                            <w:left w:val="none" w:sz="0" w:space="0" w:color="auto"/>
                            <w:bottom w:val="none" w:sz="0" w:space="0" w:color="auto"/>
                            <w:right w:val="none" w:sz="0" w:space="0" w:color="auto"/>
                          </w:divBdr>
                          <w:divsChild>
                            <w:div w:id="121919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93169">
      <w:bodyDiv w:val="1"/>
      <w:marLeft w:val="0"/>
      <w:marRight w:val="0"/>
      <w:marTop w:val="0"/>
      <w:marBottom w:val="0"/>
      <w:divBdr>
        <w:top w:val="none" w:sz="0" w:space="0" w:color="auto"/>
        <w:left w:val="none" w:sz="0" w:space="0" w:color="auto"/>
        <w:bottom w:val="none" w:sz="0" w:space="0" w:color="auto"/>
        <w:right w:val="none" w:sz="0" w:space="0" w:color="auto"/>
      </w:divBdr>
      <w:divsChild>
        <w:div w:id="477654223">
          <w:marLeft w:val="0"/>
          <w:marRight w:val="0"/>
          <w:marTop w:val="0"/>
          <w:marBottom w:val="0"/>
          <w:divBdr>
            <w:top w:val="none" w:sz="0" w:space="0" w:color="auto"/>
            <w:left w:val="none" w:sz="0" w:space="0" w:color="auto"/>
            <w:bottom w:val="none" w:sz="0" w:space="0" w:color="auto"/>
            <w:right w:val="none" w:sz="0" w:space="0" w:color="auto"/>
          </w:divBdr>
          <w:divsChild>
            <w:div w:id="1643344021">
              <w:marLeft w:val="0"/>
              <w:marRight w:val="0"/>
              <w:marTop w:val="300"/>
              <w:marBottom w:val="300"/>
              <w:divBdr>
                <w:top w:val="none" w:sz="0" w:space="0" w:color="auto"/>
                <w:left w:val="none" w:sz="0" w:space="0" w:color="auto"/>
                <w:bottom w:val="none" w:sz="0" w:space="0" w:color="auto"/>
                <w:right w:val="none" w:sz="0" w:space="0" w:color="auto"/>
              </w:divBdr>
              <w:divsChild>
                <w:div w:id="1962951700">
                  <w:marLeft w:val="0"/>
                  <w:marRight w:val="0"/>
                  <w:marTop w:val="0"/>
                  <w:marBottom w:val="0"/>
                  <w:divBdr>
                    <w:top w:val="none" w:sz="0" w:space="0" w:color="auto"/>
                    <w:left w:val="none" w:sz="0" w:space="0" w:color="auto"/>
                    <w:bottom w:val="none" w:sz="0" w:space="0" w:color="auto"/>
                    <w:right w:val="none" w:sz="0" w:space="0" w:color="auto"/>
                  </w:divBdr>
                  <w:divsChild>
                    <w:div w:id="432019250">
                      <w:marLeft w:val="0"/>
                      <w:marRight w:val="0"/>
                      <w:marTop w:val="150"/>
                      <w:marBottom w:val="150"/>
                      <w:divBdr>
                        <w:top w:val="none" w:sz="0" w:space="0" w:color="auto"/>
                        <w:left w:val="none" w:sz="0" w:space="0" w:color="auto"/>
                        <w:bottom w:val="none" w:sz="0" w:space="0" w:color="auto"/>
                        <w:right w:val="none" w:sz="0" w:space="0" w:color="auto"/>
                      </w:divBdr>
                      <w:divsChild>
                        <w:div w:id="1609582985">
                          <w:marLeft w:val="0"/>
                          <w:marRight w:val="0"/>
                          <w:marTop w:val="0"/>
                          <w:marBottom w:val="0"/>
                          <w:divBdr>
                            <w:top w:val="none" w:sz="0" w:space="0" w:color="auto"/>
                            <w:left w:val="none" w:sz="0" w:space="0" w:color="auto"/>
                            <w:bottom w:val="none" w:sz="0" w:space="0" w:color="auto"/>
                            <w:right w:val="none" w:sz="0" w:space="0" w:color="auto"/>
                          </w:divBdr>
                          <w:divsChild>
                            <w:div w:id="985016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Medellin</dc:creator>
  <cp:keywords/>
  <dc:description/>
  <cp:lastModifiedBy>Sherry Medellin</cp:lastModifiedBy>
  <cp:revision>1</cp:revision>
  <dcterms:created xsi:type="dcterms:W3CDTF">2016-07-13T03:41:00Z</dcterms:created>
  <dcterms:modified xsi:type="dcterms:W3CDTF">2016-07-13T03:48:00Z</dcterms:modified>
</cp:coreProperties>
</file>