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5" w:rsidRDefault="00EE51F5" w:rsidP="00EE51F5">
      <w:pPr>
        <w:autoSpaceDE w:val="0"/>
        <w:autoSpaceDN w:val="0"/>
        <w:adjustRightInd w:val="0"/>
        <w:rPr>
          <w:rFonts w:ascii="Fenice-Bold" w:hAnsi="Fenice-Bold" w:cs="Fenice-Bold"/>
          <w:b/>
          <w:bCs/>
          <w:color w:val="00AEF0"/>
        </w:rPr>
      </w:pPr>
      <w:r>
        <w:rPr>
          <w:rFonts w:ascii="Fenice-Bold" w:hAnsi="Fenice-Bold" w:cs="Fenice-Bold"/>
          <w:b/>
          <w:bCs/>
          <w:color w:val="00AEF0"/>
        </w:rPr>
        <w:t>13-22. Martin Shoes, Inc. (Planning a Database Using REA</w:t>
      </w:r>
    </w:p>
    <w:p w:rsidR="00EE51F5" w:rsidRDefault="00EE51F5" w:rsidP="00EE51F5">
      <w:pPr>
        <w:autoSpaceDE w:val="0"/>
        <w:autoSpaceDN w:val="0"/>
        <w:adjustRightInd w:val="0"/>
        <w:rPr>
          <w:rFonts w:ascii="Fenice-Bold" w:hAnsi="Fenice-Bold" w:cs="Fenice-Bold"/>
          <w:b/>
          <w:bCs/>
          <w:color w:val="00AEF0"/>
        </w:rPr>
      </w:pPr>
      <w:proofErr w:type="gramStart"/>
      <w:r>
        <w:rPr>
          <w:rFonts w:ascii="Fenice-Bold" w:hAnsi="Fenice-Bold" w:cs="Fenice-Bold"/>
          <w:b/>
          <w:bCs/>
          <w:color w:val="00AEF0"/>
        </w:rPr>
        <w:t>and</w:t>
      </w:r>
      <w:proofErr w:type="gramEnd"/>
      <w:r>
        <w:rPr>
          <w:rFonts w:ascii="Fenice-Bold" w:hAnsi="Fenice-Bold" w:cs="Fenice-Bold"/>
          <w:b/>
          <w:bCs/>
          <w:color w:val="00AEF0"/>
        </w:rPr>
        <w:t xml:space="preserve"> E-R Methodology)</w:t>
      </w:r>
    </w:p>
    <w:p w:rsidR="00EE51F5" w:rsidRDefault="00EE51F5" w:rsidP="00EE51F5">
      <w:pPr>
        <w:autoSpaceDE w:val="0"/>
        <w:autoSpaceDN w:val="0"/>
        <w:adjustRightInd w:val="0"/>
        <w:rPr>
          <w:rFonts w:ascii="Fenice-Bold" w:hAnsi="Fenice-Bold" w:cs="Fenice-Bold"/>
          <w:b/>
          <w:bCs/>
          <w:color w:val="00AEF0"/>
        </w:rPr>
      </w:pP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r>
        <w:rPr>
          <w:rFonts w:ascii="Garamond-Book" w:hAnsi="Garamond-Book" w:cs="Garamond-Book"/>
          <w:color w:val="231F20"/>
          <w:sz w:val="20"/>
          <w:szCs w:val="20"/>
        </w:rPr>
        <w:t>Martin Shoes, Inc</w:t>
      </w: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.,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manufactures and distributes orthopedic footwear. To sell its products,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the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marketing department requires sales personnel to call on the shoe retailers within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their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assigned geographic territories. Each salesperson has a laptop computer, which he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or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she uses to record sales orders during the day and to send these sales orders to Martin’s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network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nightly for updating the company’s sales order file.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r>
        <w:rPr>
          <w:rFonts w:ascii="Garamond-Book" w:hAnsi="Garamond-Book" w:cs="Garamond-Book"/>
          <w:color w:val="231F20"/>
          <w:sz w:val="20"/>
          <w:szCs w:val="20"/>
        </w:rPr>
        <w:t>Each day, warehouse personnel review the current sales orders in its file, and where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possible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>, pick the goods and ready them for shipment. (Martin ships goods via common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carrier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>, and shipping terms are generally FOB from the shipping point.) When the shipping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department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completes a shipment, it also notifies the billing department, which then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prepares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an invoice for the customer. Payment terms vary by customer, but most are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‘‘net 30.’’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When the billing department receives a payment, the billing clerk credits the</w:t>
      </w:r>
    </w:p>
    <w:p w:rsidR="00EE51F5" w:rsidRDefault="00EE51F5" w:rsidP="00EE51F5">
      <w:pPr>
        <w:pStyle w:val="APA"/>
        <w:rPr>
          <w:rFonts w:ascii="Garamond-Book" w:hAnsi="Garamond-Book" w:cs="Garamond-Book"/>
          <w:color w:val="231F20"/>
          <w:sz w:val="20"/>
        </w:rPr>
      </w:pPr>
      <w:proofErr w:type="gramStart"/>
      <w:r>
        <w:rPr>
          <w:rFonts w:ascii="Garamond-Book" w:hAnsi="Garamond-Book" w:cs="Garamond-Book"/>
          <w:color w:val="231F20"/>
          <w:sz w:val="20"/>
        </w:rPr>
        <w:t>customer’s</w:t>
      </w:r>
      <w:proofErr w:type="gramEnd"/>
      <w:r>
        <w:rPr>
          <w:rFonts w:ascii="Garamond-Book" w:hAnsi="Garamond-Book" w:cs="Garamond-Book"/>
          <w:color w:val="231F20"/>
          <w:sz w:val="20"/>
        </w:rPr>
        <w:t xml:space="preserve"> account and records the cash received.</w:t>
      </w:r>
    </w:p>
    <w:p w:rsidR="00EE51F5" w:rsidRDefault="00EE51F5" w:rsidP="00EE51F5">
      <w:pPr>
        <w:autoSpaceDE w:val="0"/>
        <w:autoSpaceDN w:val="0"/>
        <w:adjustRightInd w:val="0"/>
        <w:rPr>
          <w:rFonts w:ascii="Fenice-Bold" w:hAnsi="Fenice-Bold" w:cs="Fenice-Bold"/>
          <w:b/>
          <w:bCs/>
          <w:color w:val="00AEF0"/>
        </w:rPr>
      </w:pPr>
      <w:r>
        <w:rPr>
          <w:rFonts w:ascii="Fenice-Bold" w:hAnsi="Fenice-Bold" w:cs="Fenice-Bold"/>
          <w:b/>
          <w:bCs/>
          <w:color w:val="00AEF0"/>
        </w:rPr>
        <w:t>Requirements</w:t>
      </w:r>
    </w:p>
    <w:p w:rsidR="00EE51F5" w:rsidRDefault="00EE51F5" w:rsidP="00EE51F5">
      <w:pPr>
        <w:autoSpaceDE w:val="0"/>
        <w:autoSpaceDN w:val="0"/>
        <w:adjustRightInd w:val="0"/>
        <w:rPr>
          <w:rFonts w:ascii="Fenice-Bold" w:hAnsi="Fenice-Bold" w:cs="Fenice-Bold"/>
          <w:b/>
          <w:bCs/>
          <w:color w:val="00AEF0"/>
        </w:rPr>
      </w:pP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r>
        <w:rPr>
          <w:rFonts w:ascii="Garamond-Bold" w:hAnsi="Garamond-Bold" w:cs="Garamond-Bold"/>
          <w:b/>
          <w:bCs/>
          <w:color w:val="00AEF0"/>
          <w:sz w:val="20"/>
          <w:szCs w:val="20"/>
        </w:rPr>
        <w:t xml:space="preserve">1. </w:t>
      </w:r>
      <w:r>
        <w:rPr>
          <w:rFonts w:ascii="Garamond-Book" w:hAnsi="Garamond-Book" w:cs="Garamond-Book"/>
          <w:color w:val="231F20"/>
          <w:sz w:val="20"/>
          <w:szCs w:val="20"/>
        </w:rPr>
        <w:t>Identify the resources, events, and agents within Martin’s revenue process.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r>
        <w:rPr>
          <w:rFonts w:ascii="Garamond-Bold" w:hAnsi="Garamond-Bold" w:cs="Garamond-Bold"/>
          <w:b/>
          <w:bCs/>
          <w:color w:val="00AEF0"/>
          <w:sz w:val="20"/>
          <w:szCs w:val="20"/>
        </w:rPr>
        <w:t xml:space="preserve">2. </w:t>
      </w:r>
      <w:r>
        <w:rPr>
          <w:rFonts w:ascii="Garamond-Book" w:hAnsi="Garamond-Book" w:cs="Garamond-Book"/>
          <w:color w:val="231F20"/>
          <w:sz w:val="20"/>
          <w:szCs w:val="20"/>
        </w:rPr>
        <w:t>Develop an E-R diagram for this process.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r>
        <w:rPr>
          <w:rFonts w:ascii="Garamond-Bold" w:hAnsi="Garamond-Bold" w:cs="Garamond-Bold"/>
          <w:b/>
          <w:bCs/>
          <w:color w:val="00AEF0"/>
          <w:sz w:val="20"/>
          <w:szCs w:val="20"/>
        </w:rPr>
        <w:t xml:space="preserve">3. </w:t>
      </w:r>
      <w:r>
        <w:rPr>
          <w:rFonts w:ascii="Garamond-Book" w:hAnsi="Garamond-Book" w:cs="Garamond-Book"/>
          <w:color w:val="231F20"/>
          <w:sz w:val="20"/>
          <w:szCs w:val="20"/>
        </w:rPr>
        <w:t>With a particular DBMS in mind, design the tables for this revenue process. Note that</w:t>
      </w:r>
    </w:p>
    <w:p w:rsidR="00EE51F5" w:rsidRDefault="00EE51F5" w:rsidP="00EE51F5">
      <w:pPr>
        <w:autoSpaceDE w:val="0"/>
        <w:autoSpaceDN w:val="0"/>
        <w:adjustRightInd w:val="0"/>
        <w:rPr>
          <w:rFonts w:ascii="Garamond-Book" w:hAnsi="Garamond-Book" w:cs="Garamond-Book"/>
          <w:color w:val="231F20"/>
          <w:sz w:val="20"/>
          <w:szCs w:val="20"/>
        </w:rPr>
      </w:pPr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you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will need tables for each resource, event, and agent, as well as tables for each</w:t>
      </w:r>
    </w:p>
    <w:p w:rsidR="00E20611" w:rsidRDefault="00EE51F5" w:rsidP="00EE51F5">
      <w:proofErr w:type="gramStart"/>
      <w:r>
        <w:rPr>
          <w:rFonts w:ascii="Garamond-Book" w:hAnsi="Garamond-Book" w:cs="Garamond-Book"/>
          <w:color w:val="231F20"/>
          <w:sz w:val="20"/>
          <w:szCs w:val="20"/>
        </w:rPr>
        <w:t>many-to-many</w:t>
      </w:r>
      <w:proofErr w:type="gramEnd"/>
      <w:r>
        <w:rPr>
          <w:rFonts w:ascii="Garamond-Book" w:hAnsi="Garamond-Book" w:cs="Garamond-Book"/>
          <w:color w:val="231F20"/>
          <w:sz w:val="20"/>
          <w:szCs w:val="20"/>
        </w:rPr>
        <w:t xml:space="preserve"> relationship.</w:t>
      </w:r>
      <w:bookmarkStart w:id="0" w:name="_GoBack"/>
      <w:bookmarkEnd w:id="0"/>
    </w:p>
    <w:sectPr w:rsidR="00E2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ni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5"/>
    <w:rsid w:val="00E20611"/>
    <w:rsid w:val="00E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EE51F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1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EE51F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1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1198</Characters>
  <Application>Microsoft Office Word</Application>
  <DocSecurity>0</DocSecurity>
  <Lines>199</Lines>
  <Paragraphs>87</Paragraphs>
  <ScaleCrop>false</ScaleCrop>
  <Company>Koorsen Fire &amp; Security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Department</dc:creator>
  <cp:lastModifiedBy>I.T. Department</cp:lastModifiedBy>
  <cp:revision>1</cp:revision>
  <dcterms:created xsi:type="dcterms:W3CDTF">2015-05-02T16:41:00Z</dcterms:created>
  <dcterms:modified xsi:type="dcterms:W3CDTF">2015-05-02T16:41:00Z</dcterms:modified>
</cp:coreProperties>
</file>